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LEG-26-0080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2026-02-19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Cliente: Emilio Castañón Rivas</w:t>
      </w:r>
    </w:p>
    <w:p>
      <w:r>
        <w:t>Contraparte: Beatriz Cordero Villalobos</w:t>
      </w:r>
    </w:p>
    <w:p>
      <w:r>
        <w:t>Abogado responsable: Paulina Ochoa Delgado</w:t>
      </w:r>
    </w:p>
    <w:p>
      <w:r>
        <w:t>Monto del contrato: $639,600.00</w:t>
      </w:r>
    </w:p>
    <w:p>
      <w:r>
        <w:t>Vigencia: 2026-06-21 a 2027-04-20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2026-02-19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licencia de software celebrado entre Emilio Castañón Rivas y Beatriz Cordero Villalobos tiene un valor de $639,600.00 y estará vigente del 21 de junio de 2026 al 20 de abril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