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LEG-26-0086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2026-10-28</w:t>
      </w:r>
    </w:p>
    <w:p>
      <w:r>
        <w:t>Responsable interno: Arturo Pineda Casillas</w:t>
      </w:r>
    </w:p>
    <w:p>
      <w:r>
        <w:t>Clasificación de datos: Uso interno — datos sintéticos de prueba</w:t>
      </w:r>
    </w:p>
    <w:p>
      <w:r>
        <w:t>Cliente: Constructora Peñasco, S.A. de C.V.</w:t>
      </w:r>
    </w:p>
    <w:p>
      <w:r>
        <w:t>Contraparte: Adrián Villalpando Cruz</w:t>
      </w:r>
    </w:p>
    <w:p>
      <w:r>
        <w:t>Abogado responsable: Rubén Cazares Montaño</w:t>
      </w:r>
    </w:p>
    <w:p>
      <w:r>
        <w:t>Monto del contrato: $1,203,600.00</w:t>
      </w:r>
    </w:p>
    <w:p>
      <w:r>
        <w:t>Vigencia: 2026-03-17 a 2027-05-03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2026-10-28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distribución celebrado entre Constructora Peñasco, S.A. de C.V. y Adrián Villalpando Cruz tiene un valor de $1,203,600.00 y estará vigente del 17 de marzo de 2026 al 3 de mayo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