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LEG-26-0087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2026-05-25</w:t>
      </w:r>
    </w:p>
    <w:p>
      <w:r>
        <w:t>Responsable interno: Héctor Larrañaga Ibarra</w:t>
      </w:r>
    </w:p>
    <w:p>
      <w:r>
        <w:t>Clasificación de datos: Uso interno — datos sintéticos de prueba</w:t>
      </w:r>
    </w:p>
    <w:p>
      <w:r>
        <w:t>Cliente: Valeria Prado Sandoval</w:t>
      </w:r>
    </w:p>
    <w:p>
      <w:r>
        <w:t>Contraparte: Alonso Treviño Paz</w:t>
      </w:r>
    </w:p>
    <w:p>
      <w:r>
        <w:t>Abogado responsable: Lucía Barragán Nieto</w:t>
      </w:r>
    </w:p>
    <w:p>
      <w:r>
        <w:t>Monto del contrato: $1,100,600.00</w:t>
      </w:r>
    </w:p>
    <w:p>
      <w:r>
        <w:t>Vigencia: 2026-01-14 a 2028-06-08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2026-05-25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distribución celebrado entre Valeria Prado Sandoval y Alonso Treviño Paz tiene un valor de $1,100,600.00 y estará vigente del 14 de enero de 2026 al 8 de junio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