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LEG-26-0089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2026-07-22</w:t>
      </w:r>
    </w:p>
    <w:p>
      <w:r>
        <w:t>Responsable interno: Cecilia Montemayor Ruiz</w:t>
      </w:r>
    </w:p>
    <w:p>
      <w:r>
        <w:t>Clasificación de datos: Uso interno — datos sintéticos de prueba</w:t>
      </w:r>
    </w:p>
    <w:p>
      <w:r>
        <w:t>Cliente: Adrián Villalpando Cruz</w:t>
      </w:r>
    </w:p>
    <w:p>
      <w:r>
        <w:t>Contraparte: Ignacio Bermúdez Roque</w:t>
      </w:r>
    </w:p>
    <w:p>
      <w:r>
        <w:t>Abogado responsable: Beatriz Cordero Villalobos</w:t>
      </w:r>
    </w:p>
    <w:p>
      <w:r>
        <w:t>Monto del contrato: $3,263,600.00</w:t>
      </w:r>
    </w:p>
    <w:p>
      <w:r>
        <w:t>Vigencia: 2026-05-18 a 2027-01-18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2026-07-22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licencia de software celebrado entre Adrián Villalpando Cruz y Ignacio Bermúdez Roque tiene un valor de $3,263,600.00 y estará vigente del 18 de mayo de 2026 al 18 de enero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