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consultoría</w:t>
      </w:r>
    </w:p>
    <w:p>
      <w:r>
        <w:t>Folio: LEG-26-0095</w:t>
      </w:r>
    </w:p>
    <w:p>
      <w:r>
        <w:t>Tipo de documento: Contrato de consultoría</w:t>
      </w:r>
    </w:p>
    <w:p>
      <w:r>
        <w:t>Área responsable: Corporativo</w:t>
      </w:r>
    </w:p>
    <w:p>
      <w:r>
        <w:t>Estado: En negociación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2026-05-04</w:t>
      </w:r>
    </w:p>
    <w:p>
      <w:r>
        <w:t>Responsable interno: Alonso Treviño Paz</w:t>
      </w:r>
    </w:p>
    <w:p>
      <w:r>
        <w:t>Clasificación de datos: Uso interno — datos sintéticos de prueba</w:t>
      </w:r>
    </w:p>
    <w:p>
      <w:r>
        <w:t>Cliente: Ignacio Bermúdez Roque</w:t>
      </w:r>
    </w:p>
    <w:p>
      <w:r>
        <w:t>Contraparte: Sergio Manrique Olvera</w:t>
      </w:r>
    </w:p>
    <w:p>
      <w:r>
        <w:t>Abogado responsable: Ximena Bravo Terán</w:t>
      </w:r>
    </w:p>
    <w:p>
      <w:r>
        <w:t>Monto del contrato: $1,804,500.00</w:t>
      </w:r>
    </w:p>
    <w:p>
      <w:r>
        <w:t>Vigencia: 2026-05-17 a 2027-06-04</w:t>
      </w:r>
    </w:p>
    <w:p>
      <w:r>
        <w:t>Jurisdicción aplicable: Tijuana</w:t>
      </w:r>
    </w:p>
    <w:p>
      <w:r>
        <w:t>Cláusula de rescisión anticipada: Sí</w:t>
      </w:r>
    </w:p>
    <w:p>
      <w:r>
        <w:t>Fecha de firma: 2026-05-04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contrato de consultoría celebrado entre Ignacio Bermúdez Roque y Sergio Manrique Olvera tiene un valor de $1,804,500.00 y estará vigente del 17 de mayo de 2026 al 4 de junio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