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LEG-26-0096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2026-09-18</w:t>
      </w:r>
    </w:p>
    <w:p>
      <w:r>
        <w:t>Responsable interno: Julián Meraz Cordero</w:t>
      </w:r>
    </w:p>
    <w:p>
      <w:r>
        <w:t>Clasificación de datos: Uso interno — datos sintéticos de prueba</w:t>
      </w:r>
    </w:p>
    <w:p>
      <w:r>
        <w:t>Cliente: Grupo Financiero Robledo, S.A.B.</w:t>
      </w:r>
    </w:p>
    <w:p>
      <w:r>
        <w:t>Contraparte: Tecnología Aplicada Ferro, S.A. de C.V.</w:t>
      </w:r>
    </w:p>
    <w:p>
      <w:r>
        <w:t>Abogado responsable: Valeria Prado Sandoval</w:t>
      </w:r>
    </w:p>
    <w:p>
      <w:r>
        <w:t>Monto del contrato: $2,720,100.00</w:t>
      </w:r>
    </w:p>
    <w:p>
      <w:r>
        <w:t>Vigencia: 2026-06-01 a 2027-06-26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2026-09-18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prestación de servicios celebrado entre Grupo Financiero Robledo, S.A.B. y Tecnología Aplicada Ferro, S.A. de C.V. tiene un valor de $2,720,100.00 y estará vigente del 1 de junio de 2026 al 26 de junio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