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LEG-26-0098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2026-01-25</w:t>
      </w:r>
    </w:p>
    <w:p>
      <w:r>
        <w:t>Responsable interno: Ramiro Aguilar Bátiz</w:t>
      </w:r>
    </w:p>
    <w:p>
      <w:r>
        <w:t>Clasificación de datos: Uso interno — datos sintéticos de prueba</w:t>
      </w:r>
    </w:p>
    <w:p>
      <w:r>
        <w:t>Cliente: Manufacturas Cardenal, S.A. de C.V.</w:t>
      </w:r>
    </w:p>
    <w:p>
      <w:r>
        <w:t>Contraparte: Fernando Espinoza Cabral</w:t>
      </w:r>
    </w:p>
    <w:p>
      <w:r>
        <w:t>Abogado responsable: Fernando Espinoza Cabral</w:t>
      </w:r>
    </w:p>
    <w:p>
      <w:r>
        <w:t>Monto del contrato: $628,600.00</w:t>
      </w:r>
    </w:p>
    <w:p>
      <w:r>
        <w:t>Vigencia: 2026-04-02 a 2027-05-10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2026-01-25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distribución celebrado entre Manufacturas Cardenal, S.A. de C.V. y Fernando Espinoza Cabral tiene un valor de $628,600.00 y estará vigente del 2 de abril de 2026 al 10 de mayo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