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LEG-26-0102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2026-04-16</w:t>
      </w:r>
    </w:p>
    <w:p>
      <w:r>
        <w:t>Responsable interno: Camila Segovia Marín</w:t>
      </w:r>
    </w:p>
    <w:p>
      <w:r>
        <w:t>Clasificación de datos: Uso interno — datos sintéticos de prueba</w:t>
      </w:r>
    </w:p>
    <w:p>
      <w:r>
        <w:t>Cliente: Tecnología Aplicada Ferro, S.A. de C.V.</w:t>
      </w:r>
    </w:p>
    <w:p>
      <w:r>
        <w:t>Contraparte: Inmobiliaria Los Encinos, S.A. de C.V.</w:t>
      </w:r>
    </w:p>
    <w:p>
      <w:r>
        <w:t>Abogado responsable: Renata Fuentes Salcido</w:t>
      </w:r>
    </w:p>
    <w:p>
      <w:r>
        <w:t>Monto del contrato: $227,200.00</w:t>
      </w:r>
    </w:p>
    <w:p>
      <w:r>
        <w:t>Vigencia: 2026-04-28 a 2028-07-06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2026-04-16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convenio de confidencialidad celebrado entre Tecnología Aplicada Ferro, S.A. de C.V. y Inmobiliaria Los Encinos, S.A. de C.V. tiene un valor de $227,200.00 y estará vigente del 28 de abril de 2026 al 6 de julio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