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LEG-26-0106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2026-03-24</w:t>
      </w:r>
    </w:p>
    <w:p>
      <w:r>
        <w:t>Responsable interno: Isabel Correa Zamudio</w:t>
      </w:r>
    </w:p>
    <w:p>
      <w:r>
        <w:t>Clasificación de datos: Uso interno — datos sintéticos de prueba</w:t>
      </w:r>
    </w:p>
    <w:p>
      <w:r>
        <w:t>Cliente: Rubén Cazares Montaño</w:t>
      </w:r>
    </w:p>
    <w:p>
      <w:r>
        <w:t>Contraparte: Valeria Prado Sandoval</w:t>
      </w:r>
    </w:p>
    <w:p>
      <w:r>
        <w:t>Abogado responsable: Beatriz Cordero Villalobos</w:t>
      </w:r>
    </w:p>
    <w:p>
      <w:r>
        <w:t>Monto del contrato: $3,163,300.00</w:t>
      </w:r>
    </w:p>
    <w:p>
      <w:r>
        <w:t>Vigencia: 2026-05-02 a 2028-01-08</w:t>
      </w:r>
    </w:p>
    <w:p>
      <w:r>
        <w:t>Jurisdicción aplicable: Puebla</w:t>
      </w:r>
    </w:p>
    <w:p>
      <w:r>
        <w:t>Cláusula de rescisión anticipada: Sí</w:t>
      </w:r>
    </w:p>
    <w:p>
      <w:r>
        <w:t>Fecha de firma: 2026-03-24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distribución celebrado entre Rubén Cazares Montaño y Valeria Prado Sandoval tiene un valor de $3,163,300.00 y estará vigente del 2 de mayo de 2026 al 8 de enero de 2028.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