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LEG-26-0109</w:t>
      </w:r>
    </w:p>
    <w:p>
      <w:r>
        <w:t>Tipo de documento: Contrato de consultoría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2026-07-12</w:t>
      </w:r>
    </w:p>
    <w:p>
      <w:r>
        <w:t>Responsable interno: Marisol Quiñones Baeza</w:t>
      </w:r>
    </w:p>
    <w:p>
      <w:r>
        <w:t>Clasificación de datos: Uso interno — datos sintéticos de prueba</w:t>
      </w:r>
    </w:p>
    <w:p>
      <w:r>
        <w:t>Cliente: Teresa Camacho Beltrán</w:t>
      </w:r>
    </w:p>
    <w:p>
      <w:r>
        <w:t>Contraparte: Silvia Padrón Nájera</w:t>
      </w:r>
    </w:p>
    <w:p>
      <w:r>
        <w:t>Abogado responsable: Sergio Manrique Olvera</w:t>
      </w:r>
    </w:p>
    <w:p>
      <w:r>
        <w:t>Monto del contrato: $1,960,300.00</w:t>
      </w:r>
    </w:p>
    <w:p>
      <w:r>
        <w:t>Vigencia: 2026-06-13 a 2027-01-16</w:t>
      </w:r>
    </w:p>
    <w:p>
      <w:r>
        <w:t>Jurisdicción aplicable: Puebla</w:t>
      </w:r>
    </w:p>
    <w:p>
      <w:r>
        <w:t>Cláusula de rescisión anticipada: No</w:t>
      </w:r>
    </w:p>
    <w:p>
      <w:r>
        <w:t>Fecha de firma: 2026-07-12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consultoría celebrado entre Teresa Camacho Beltrán y Silvia Padrón Nájera tiene un valor de $1,960,300.00 y estará vigente del 13 de junio de 2026 al 16 de enero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