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LEG-26-0283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2026-10-22</w:t>
      </w:r>
    </w:p>
    <w:p>
      <w:r>
        <w:t>Responsable interno: Ximena Bravo Terán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Enrique Villavicencio Mora</w:t>
      </w:r>
    </w:p>
    <w:p>
      <w:r>
        <w:t>Abogado que dictamina: Beatriz Cordero Villalobos</w:t>
      </w:r>
    </w:p>
    <w:p>
      <w:r>
        <w:t>Conclusión: Desfavorable</w:t>
      </w:r>
    </w:p>
    <w:p>
      <w:r>
        <w:t>Riesgo identificado: Medio</w:t>
      </w:r>
    </w:p>
    <w:p>
      <w:r>
        <w:t>Honorarios del dictamen: $150,800.00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laboral solicitado por Enrique Villavicencio Mora concluyó con una opinión desfavorable y un riesgo identificado medio.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