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LEG-26-0285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2026-04-19</w:t>
      </w:r>
    </w:p>
    <w:p>
      <w:r>
        <w:t>Responsable interno: Isabel Correa Zamudio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Arturo Pineda Casillas</w:t>
      </w:r>
    </w:p>
    <w:p>
      <w:r>
        <w:t>Abogado que dictamina: Héctor Larrañaga Ibarra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$227,000.00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regulatorio solicitado por Arturo Pineda Casillas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