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LEG-26-0286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2026-12-19</w:t>
      </w:r>
    </w:p>
    <w:p>
      <w:r>
        <w:t>Responsable interno: Andrea Solano Trujillo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Grupo Financiero Robledo, S.A.B.</w:t>
      </w:r>
    </w:p>
    <w:p>
      <w:r>
        <w:t>Abogado que dictamina: Patricia Guzmán Alcalá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$83,700.00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corporativo solicitado por Grupo Financiero Robledo, S.A.B.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