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LEG-26-0296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2026-08-25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Ramiro Aguilar Bátiz</w:t>
      </w:r>
    </w:p>
    <w:p>
      <w:r>
        <w:t>Abogado que dictamina: Patricia Guzmán Alcalá</w:t>
      </w:r>
    </w:p>
    <w:p>
      <w:r>
        <w:t>Conclusión: Favorable</w:t>
      </w:r>
    </w:p>
    <w:p>
      <w:r>
        <w:t>Riesgo identificado: Alto</w:t>
      </w:r>
    </w:p>
    <w:p>
      <w:r>
        <w:t>Honorarios del dictamen: $142,400.00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regulatorio solicitado por Ramiro Aguilar Bátiz concluyó con una opinión favorable y un riesgo identificado alto.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