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LEG-26-0297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Entregado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2026-08-28</w:t>
      </w:r>
    </w:p>
    <w:p>
      <w:r>
        <w:t>Responsable interno: Fernando Espinoza Cabral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Héctor Larrañaga Ibarra</w:t>
      </w:r>
    </w:p>
    <w:p>
      <w:r>
        <w:t>Abogado que dictamina: Adrián Villalpando Cruz</w:t>
      </w:r>
    </w:p>
    <w:p>
      <w:r>
        <w:t>Conclusión: Favorable</w:t>
      </w:r>
    </w:p>
    <w:p>
      <w:r>
        <w:t>Riesgo identificado: Medio</w:t>
      </w:r>
    </w:p>
    <w:p>
      <w:r>
        <w:t>Honorarios del dictamen: $243,100.00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fiscal solicitado por Héctor Larrañaga Ibarra concluyó con una opinión favorable y un riesgo identificado medio.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