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regulatorio</w:t>
      </w:r>
    </w:p>
    <w:p>
      <w:r>
        <w:t>Folio: LEG-26-0300</w:t>
      </w:r>
    </w:p>
    <w:p>
      <w:r>
        <w:t>Tipo de documento: Dictamen legal en materia regulatorio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2026-12-24</w:t>
      </w:r>
    </w:p>
    <w:p>
      <w:r>
        <w:t>Responsable interno: Rodrigo Lezama Fonseca</w:t>
      </w:r>
    </w:p>
    <w:p>
      <w:r>
        <w:t>Clasificación de datos: Uso interno — datos sintéticos de prueba</w:t>
      </w:r>
    </w:p>
    <w:p>
      <w:r>
        <w:t>Materia: Regulatorio</w:t>
      </w:r>
    </w:p>
    <w:p>
      <w:r>
        <w:t>Cliente: Sergio Manrique Olvera</w:t>
      </w:r>
    </w:p>
    <w:p>
      <w:r>
        <w:t>Abogado que dictamina: Ignacio Bermúdez Roque</w:t>
      </w:r>
    </w:p>
    <w:p>
      <w:r>
        <w:t>Conclusión: Desfavorable</w:t>
      </w:r>
    </w:p>
    <w:p>
      <w:r>
        <w:t>Riesgo identificado: Bajo</w:t>
      </w:r>
    </w:p>
    <w:p>
      <w:r>
        <w:t>Honorarios del dictamen: $215,100.00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regulatorio solicitado por Sergio Manrique Olvera concluyó con una opinión desfavorable y un riesgo identificado bajo.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