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LEG-26-0301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2026-04-26</w:t>
      </w:r>
    </w:p>
    <w:p>
      <w:r>
        <w:t>Responsable interno: Valeria Prado Sandoval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Rubén Cazares Montaño</w:t>
      </w:r>
    </w:p>
    <w:p>
      <w:r>
        <w:t>Abogado que dictamina: Nicolás Rangel Chávez</w:t>
      </w:r>
    </w:p>
    <w:p>
      <w:r>
        <w:t>Conclusión: Desfavorable</w:t>
      </w:r>
    </w:p>
    <w:p>
      <w:r>
        <w:t>Riesgo identificado: Alto</w:t>
      </w:r>
    </w:p>
    <w:p>
      <w:r>
        <w:t>Honorarios del dictamen: $20,100.00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regulatorio solicitado por Rubén Cazares Montaño concluyó con una opinión desfavorable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