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LEG-26-0302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2026-04-18</w:t>
      </w:r>
    </w:p>
    <w:p>
      <w:r>
        <w:t>Responsable interno: Paulina Ochoa Delgado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Teresa Camacho Beltrán</w:t>
      </w:r>
    </w:p>
    <w:p>
      <w:r>
        <w:t>Abogado que dictamina: Óscar Villagómez Rentería</w:t>
      </w:r>
    </w:p>
    <w:p>
      <w:r>
        <w:t>Conclusión: Favorable</w:t>
      </w:r>
    </w:p>
    <w:p>
      <w:r>
        <w:t>Riesgo identificado: Alto</w:t>
      </w:r>
    </w:p>
    <w:p>
      <w:r>
        <w:t>Honorarios del dictamen: $49,700.00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regulatorio solicitado por Teresa Camacho Beltrán concluyó con una opinión favorable y un riesgo identificado alto.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