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LEG-26-0304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2026-09-13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Patricia Guzmán Alcalá</w:t>
      </w:r>
    </w:p>
    <w:p>
      <w:r>
        <w:t>Abogado que dictamina: Tomás Villaseñor Cano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$16,600.00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regulatorio solicitado por Patricia Guzmán Alcalá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