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LEG-26-0308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2026-07-10</w:t>
      </w:r>
    </w:p>
    <w:p>
      <w:r>
        <w:t>Responsable interno: Ricardo Balderas Ochoa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Ignacio Bermúdez Roque</w:t>
      </w:r>
    </w:p>
    <w:p>
      <w:r>
        <w:t>Abogado que dictamina: Fabiola Estrada Loyola</w:t>
      </w:r>
    </w:p>
    <w:p>
      <w:r>
        <w:t>Conclusión: Favorable</w:t>
      </w:r>
    </w:p>
    <w:p>
      <w:r>
        <w:t>Riesgo identificado: Alto</w:t>
      </w:r>
    </w:p>
    <w:p>
      <w:r>
        <w:t>Honorarios del dictamen: $55,100.00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laboral solicitado por Ignacio Bermúdez Roque concluyó con una opinión favorable y un riesgo identificado alto.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