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LEG-26-0313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2026-10-21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Diana Cervantes Uribe</w:t>
      </w:r>
    </w:p>
    <w:p>
      <w:r>
        <w:t>Abogado que dictamina: Rubén Cazares Montaño</w:t>
      </w:r>
    </w:p>
    <w:p>
      <w:r>
        <w:t>Conclusión: Favorable</w:t>
      </w:r>
    </w:p>
    <w:p>
      <w:r>
        <w:t>Riesgo identificado: Bajo</w:t>
      </w:r>
    </w:p>
    <w:p>
      <w:r>
        <w:t>Honorarios del dictamen: $84,100.00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propiedad intelectual solicitado por Diana Cervantes Uribe concluyó con una opinión 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