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LEG-26-0321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2026-09-05</w:t>
      </w:r>
    </w:p>
    <w:p>
      <w:r>
        <w:t>Responsable interno: Mauricio Sotelo Grijalva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Fernando Espinoza Cabral</w:t>
      </w:r>
    </w:p>
    <w:p>
      <w:r>
        <w:t>Abogado que dictamina: Norma Aldrete Vizcarra</w:t>
      </w:r>
    </w:p>
    <w:p>
      <w:r>
        <w:t>Conclusión: Desfavorable</w:t>
      </w:r>
    </w:p>
    <w:p>
      <w:r>
        <w:t>Riesgo identificado: Alto</w:t>
      </w:r>
    </w:p>
    <w:p>
      <w:r>
        <w:t>Honorarios del dictamen: $71,900.00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laboral solicitado por Fernando Espinoza Cabral concluyó con una opinión desfavorable y un riesgo identificado alto.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