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propiedad intelectual</w:t>
      </w:r>
    </w:p>
    <w:p>
      <w:r>
        <w:t>Folio: LEG-26-0322</w:t>
      </w:r>
    </w:p>
    <w:p>
      <w:r>
        <w:t>Tipo de documento: Dictamen legal en materia propiedad intelectual</w:t>
      </w:r>
    </w:p>
    <w:p>
      <w:r>
        <w:t>Área responsable: Corporativo</w:t>
      </w:r>
    </w:p>
    <w:p>
      <w:r>
        <w:t>Estado: En elaboración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2026-06-07</w:t>
      </w:r>
    </w:p>
    <w:p>
      <w:r>
        <w:t>Responsable interno: Fernando Espinoza Cabral</w:t>
      </w:r>
    </w:p>
    <w:p>
      <w:r>
        <w:t>Clasificación de datos: Uso interno — datos sintéticos de prueba</w:t>
      </w:r>
    </w:p>
    <w:p>
      <w:r>
        <w:t>Materia: Propiedad intelectual</w:t>
      </w:r>
    </w:p>
    <w:p>
      <w:r>
        <w:t>Cliente: Manufacturas Cardenal, S.A. de C.V.</w:t>
      </w:r>
    </w:p>
    <w:p>
      <w:r>
        <w:t>Abogado que dictamina: Valeria Prado Sandoval</w:t>
      </w:r>
    </w:p>
    <w:p>
      <w:r>
        <w:t>Conclusión: Desfavorable</w:t>
      </w:r>
    </w:p>
    <w:p>
      <w:r>
        <w:t>Riesgo identificado: Medio</w:t>
      </w:r>
    </w:p>
    <w:p>
      <w:r>
        <w:t>Honorarios del dictamen: $159,700.00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propiedad intelectual solicitado por Manufacturas Cardenal, S.A. de C.V. concluyó con una opinión desfavorable y un riesgo identificado medio.</w:t>
      </w:r>
    </w:p>
    <w:p>
      <w:pPr>
        <w:pStyle w:val="Heading2"/>
      </w:pPr>
      <w:r>
        <w:t>Seguimiento</w:t>
      </w:r>
    </w:p>
    <w:p>
      <w:r>
        <w:t>Las conclusiones aquí vertidas se basan exclusivamente en la documentación revisada y pueden variar si se presenta información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