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LEG-26-0324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2026-10-15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Emilio Castañón Rivas</w:t>
      </w:r>
    </w:p>
    <w:p>
      <w:r>
        <w:t>Abogado que dictamina: Adrián Villalpando Cruz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$240,700.00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propiedad intelectual solicitado por Emilio Castañón Rivas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