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LEG-26-0329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2026-06-10</w:t>
      </w:r>
    </w:p>
    <w:p>
      <w:r>
        <w:t>Responsable interno: Ximena Bravo Terán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Sergio Manrique Olvera</w:t>
      </w:r>
    </w:p>
    <w:p>
      <w:r>
        <w:t>Abogado que dictamina: Julián Meraz Cordero</w:t>
      </w:r>
    </w:p>
    <w:p>
      <w:r>
        <w:t>Conclusión: Favorable</w:t>
      </w:r>
    </w:p>
    <w:p>
      <w:r>
        <w:t>Riesgo identificado: Medio</w:t>
      </w:r>
    </w:p>
    <w:p>
      <w:r>
        <w:t>Honorarios del dictamen: $95,600.00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propiedad intelectual solicitado por Sergio Manrique Olvera concluyó con una opinión favorable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