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regulatorio</w:t>
      </w:r>
    </w:p>
    <w:p>
      <w:r>
        <w:t>Folio: LEG-26-0330</w:t>
      </w:r>
    </w:p>
    <w:p>
      <w:r>
        <w:t>Tipo de documento: Dictamen legal en materia regulatorio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2026-10-03</w:t>
      </w:r>
    </w:p>
    <w:p>
      <w:r>
        <w:t>Responsable interno: Mauricio Sotelo Grijalva</w:t>
      </w:r>
    </w:p>
    <w:p>
      <w:r>
        <w:t>Clasificación de datos: Uso interno — datos sintéticos de prueba</w:t>
      </w:r>
    </w:p>
    <w:p>
      <w:r>
        <w:t>Materia: Regulatorio</w:t>
      </w:r>
    </w:p>
    <w:p>
      <w:r>
        <w:t>Cliente: Camila Segovia Marín</w:t>
      </w:r>
    </w:p>
    <w:p>
      <w:r>
        <w:t>Abogado que dictamina: Fernando Espinoza Cabral</w:t>
      </w:r>
    </w:p>
    <w:p>
      <w:r>
        <w:t>Conclusión: Favorable</w:t>
      </w:r>
    </w:p>
    <w:p>
      <w:r>
        <w:t>Riesgo identificado: Medio</w:t>
      </w:r>
    </w:p>
    <w:p>
      <w:r>
        <w:t>Honorarios del dictamen: $135,000.00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regulatorio solicitado por Camila Segovia Marín concluyó con una opinión favorable y un riesgo identificado medio.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