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LEG-26-0333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elaboración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2026-10-22</w:t>
      </w:r>
    </w:p>
    <w:p>
      <w:r>
        <w:t>Responsable interno: Teresa Camacho Beltrán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Manufacturas Cardenal, S.A. de C.V.</w:t>
      </w:r>
    </w:p>
    <w:p>
      <w:r>
        <w:t>Abogado que dictamina: Tomás Villaseñor Cano</w:t>
      </w:r>
    </w:p>
    <w:p>
      <w:r>
        <w:t>Conclusión: Desfavorable</w:t>
      </w:r>
    </w:p>
    <w:p>
      <w:r>
        <w:t>Riesgo identificado: Medio</w:t>
      </w:r>
    </w:p>
    <w:p>
      <w:r>
        <w:t>Honorarios del dictamen: $198,300.00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fiscal solicitado por Manufacturas Cardenal, S.A. de C.V.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