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laboral</w:t>
      </w:r>
    </w:p>
    <w:p>
      <w:r>
        <w:t>Folio: LEG-26-0335</w:t>
      </w:r>
    </w:p>
    <w:p>
      <w:r>
        <w:t>Tipo de documento: Dictamen legal en materia laboral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2026-05-16</w:t>
      </w:r>
    </w:p>
    <w:p>
      <w:r>
        <w:t>Responsable interno: Ignacio Bermúdez Roque</w:t>
      </w:r>
    </w:p>
    <w:p>
      <w:r>
        <w:t>Clasificación de datos: Uso interno — datos sintéticos de prueba</w:t>
      </w:r>
    </w:p>
    <w:p>
      <w:r>
        <w:t>Materia: Laboral</w:t>
      </w:r>
    </w:p>
    <w:p>
      <w:r>
        <w:t>Cliente: Óscar Villagómez Rentería</w:t>
      </w:r>
    </w:p>
    <w:p>
      <w:r>
        <w:t>Abogado que dictamina: Tomás Villaseñor Cano</w:t>
      </w:r>
    </w:p>
    <w:p>
      <w:r>
        <w:t>Conclusión: Favorable con reservas</w:t>
      </w:r>
    </w:p>
    <w:p>
      <w:r>
        <w:t>Riesgo identificado: Medio</w:t>
      </w:r>
    </w:p>
    <w:p>
      <w:r>
        <w:t>Honorarios del dictamen: $97,900.00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laboral solicitado por Óscar Villagómez Rentería concluyó con una opinión favorable con reservas y un riesgo identificado medio.</w:t>
      </w:r>
    </w:p>
    <w:p>
      <w:pPr>
        <w:pStyle w:val="Heading2"/>
      </w:pPr>
      <w:r>
        <w:t>Seguimiento</w:t>
      </w:r>
    </w:p>
    <w:p>
      <w:r>
        <w:t>Las conclusiones aquí vertidas se basan exclusivamente en la documentación revisada y pueden variar si se presenta información adicional.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