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LEG-26-0337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2026-12-03</w:t>
      </w:r>
    </w:p>
    <w:p>
      <w:r>
        <w:t>Responsable interno: Ramiro Aguilar Bátiz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Leonardo Sarabia Del Toro</w:t>
      </w:r>
    </w:p>
    <w:p>
      <w:r>
        <w:t>Abogado que dictamina: Rodrigo Lezama Fonseca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$202,500.00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propiedad intelectual solicitado por Leonardo Sarabia Del Toro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