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LEG-26-0338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2026-11-07</w:t>
      </w:r>
    </w:p>
    <w:p>
      <w:r>
        <w:t>Responsable interno: Adrián Villalpando Cruz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Paulina Ochoa Delgado</w:t>
      </w:r>
    </w:p>
    <w:p>
      <w:r>
        <w:t>Abogado que dictamina: Nicolás Rangel Chávez</w:t>
      </w:r>
    </w:p>
    <w:p>
      <w:r>
        <w:t>Conclusión: Favorable</w:t>
      </w:r>
    </w:p>
    <w:p>
      <w:r>
        <w:t>Riesgo identificado: Medio</w:t>
      </w:r>
    </w:p>
    <w:p>
      <w:r>
        <w:t>Honorarios del dictamen: $243,300.00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propiedad intelectual solicitado por Paulina Ochoa Delgado concluyó con una opinión favorable y un riesgo identificado medio.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