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LEG-26-0341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2026-09-20</w:t>
      </w:r>
    </w:p>
    <w:p>
      <w:r>
        <w:t>Responsable interno: Emilio Castañón Rivas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Camila Segovia Marín</w:t>
      </w:r>
    </w:p>
    <w:p>
      <w:r>
        <w:t>Abogado que dictamina: Ximena Bravo Terán</w:t>
      </w:r>
    </w:p>
    <w:p>
      <w:r>
        <w:t>Conclusión: Favorable con reservas</w:t>
      </w:r>
    </w:p>
    <w:p>
      <w:r>
        <w:t>Riesgo identificado: Alto</w:t>
      </w:r>
    </w:p>
    <w:p>
      <w:r>
        <w:t>Honorarios del dictamen: $103,400.00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laboral solicitado por Camila Segovia Marín concluyó con una opinión favorable con reservas y un riesgo identificado alto.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