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fiscal</w:t>
      </w:r>
    </w:p>
    <w:p>
      <w:r>
        <w:t>Folio: LEG-26-0342</w:t>
      </w:r>
    </w:p>
    <w:p>
      <w:r>
        <w:t>Tipo de documento: Dictamen legal en materia fiscal</w:t>
      </w:r>
    </w:p>
    <w:p>
      <w:r>
        <w:t>Área responsable: Fiscal</w:t>
      </w:r>
    </w:p>
    <w:p>
      <w:r>
        <w:t>Estado: En elaboración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2026-06-14</w:t>
      </w:r>
    </w:p>
    <w:p>
      <w:r>
        <w:t>Responsable interno: Beatriz Cordero Villalobos</w:t>
      </w:r>
    </w:p>
    <w:p>
      <w:r>
        <w:t>Clasificación de datos: Uso interno — datos sintéticos de prueba</w:t>
      </w:r>
    </w:p>
    <w:p>
      <w:r>
        <w:t>Materia: Fiscal</w:t>
      </w:r>
    </w:p>
    <w:p>
      <w:r>
        <w:t>Cliente: Silvia Padrón Nájera</w:t>
      </w:r>
    </w:p>
    <w:p>
      <w:r>
        <w:t>Abogado que dictamina: Ramiro Aguilar Bátiz</w:t>
      </w:r>
    </w:p>
    <w:p>
      <w:r>
        <w:t>Conclusión: Favorable</w:t>
      </w:r>
    </w:p>
    <w:p>
      <w:r>
        <w:t>Riesgo identificado: Alto</w:t>
      </w:r>
    </w:p>
    <w:p>
      <w:r>
        <w:t>Honorarios del dictamen: $67,000.00</w:t>
      </w:r>
    </w:p>
    <w:p>
      <w:pPr>
        <w:pStyle w:val="Heading2"/>
      </w:pPr>
      <w:r>
        <w:t>Antecedentes</w:t>
      </w:r>
    </w:p>
    <w:p>
      <w:r>
        <w:t>El cliente solicitó este dictamen para evaluar el riesgo legal de la operación antes de continuar con las siguientes etapas del proyecto.</w:t>
      </w:r>
    </w:p>
    <w:p>
      <w:pPr>
        <w:pStyle w:val="Heading2"/>
      </w:pPr>
      <w:r>
        <w:t>Detalle</w:t>
      </w:r>
    </w:p>
    <w:p>
      <w:r>
        <w:t>El dictamen en materia fiscal solicitado por Silvia Padrón Nájera concluyó con una opinión favorable y un riesgo identificado alto.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