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LEG-26-0346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2026-08-11</w:t>
      </w:r>
    </w:p>
    <w:p>
      <w:r>
        <w:t>Responsable interno: Rodrigo Lezama Fonseca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Adrián Villalpando Cruz</w:t>
      </w:r>
    </w:p>
    <w:p>
      <w:r>
        <w:t>Abogado que dictamina: Héctor Larrañaga Ibarra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$58,000.00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laboral solicitado por Adrián Villalpando Cruz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