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LEG-26-0347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2026-08-10</w:t>
      </w:r>
    </w:p>
    <w:p>
      <w:r>
        <w:t>Responsable interno: Rubén Cazares Montaño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Beatriz Cordero Villalobos</w:t>
      </w:r>
    </w:p>
    <w:p>
      <w:r>
        <w:t>Abogado que dictamina: Alonso Treviño Paz</w:t>
      </w:r>
    </w:p>
    <w:p>
      <w:r>
        <w:t>Conclusión: Favorable</w:t>
      </w:r>
    </w:p>
    <w:p>
      <w:r>
        <w:t>Riesgo identificado: Medio</w:t>
      </w:r>
    </w:p>
    <w:p>
      <w:r>
        <w:t>Honorarios del dictamen: $159,900.00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ambiental solicitado por Beatriz Cordero Villalobos concluyó con una opinión favorable y un riesgo identificado medio.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