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LEG-26-0348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2026-08-11</w:t>
      </w:r>
    </w:p>
    <w:p>
      <w:r>
        <w:t>Responsable interno: Nicolás Rangel Chávez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Mauricio Sotelo Grijalva</w:t>
      </w:r>
    </w:p>
    <w:p>
      <w:r>
        <w:t>Abogado que dictamina: Fernando Espinoza Cabral</w:t>
      </w:r>
    </w:p>
    <w:p>
      <w:r>
        <w:t>Conclusión: Desfavorable</w:t>
      </w:r>
    </w:p>
    <w:p>
      <w:r>
        <w:t>Riesgo identificado: Bajo</w:t>
      </w:r>
    </w:p>
    <w:p>
      <w:r>
        <w:t>Honorarios del dictamen: $18,600.00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regulatorio solicitado por Mauricio Sotelo Grijalva concluyó con una opinión desfavorable y un riesgo identificado bajo.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