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LEG-26-0349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2026-05-26</w:t>
      </w:r>
    </w:p>
    <w:p>
      <w:r>
        <w:t>Responsable interno: Paulina Ochoa Delgado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Nicolás Rangel Chávez</w:t>
      </w:r>
    </w:p>
    <w:p>
      <w:r>
        <w:t>Abogado que dictamina: Emilio Castañón Rivas</w:t>
      </w:r>
    </w:p>
    <w:p>
      <w:r>
        <w:t>Conclusión: Desfavorable</w:t>
      </w:r>
    </w:p>
    <w:p>
      <w:r>
        <w:t>Riesgo identificado: Alto</w:t>
      </w:r>
    </w:p>
    <w:p>
      <w:r>
        <w:t>Honorarios del dictamen: $173,400.00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regulatorio solicitado por Nicolás Rangel Chávez concluyó con una opinión desfavorable y un riesgo identificado alto.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