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fiscal</w:t>
      </w:r>
    </w:p>
    <w:p>
      <w:r>
        <w:t>Folio: LEG-26-0350</w:t>
      </w:r>
    </w:p>
    <w:p>
      <w:r>
        <w:t>Tipo de documento: Dictamen legal en materia fiscal</w:t>
      </w:r>
    </w:p>
    <w:p>
      <w:r>
        <w:t>Área responsable: Fiscal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2026-09-23</w:t>
      </w:r>
    </w:p>
    <w:p>
      <w:r>
        <w:t>Responsable interno: Arturo Pineda Casillas</w:t>
      </w:r>
    </w:p>
    <w:p>
      <w:r>
        <w:t>Clasificación de datos: Uso interno — datos sintéticos de prueba</w:t>
      </w:r>
    </w:p>
    <w:p>
      <w:r>
        <w:t>Materia: Fiscal</w:t>
      </w:r>
    </w:p>
    <w:p>
      <w:r>
        <w:t>Cliente: Rubén Cazares Montaño</w:t>
      </w:r>
    </w:p>
    <w:p>
      <w:r>
        <w:t>Abogado que dictamina: Marisol Quiñones Baeza</w:t>
      </w:r>
    </w:p>
    <w:p>
      <w:r>
        <w:t>Conclusión: Desfavorable</w:t>
      </w:r>
    </w:p>
    <w:p>
      <w:r>
        <w:t>Riesgo identificado: Bajo</w:t>
      </w:r>
    </w:p>
    <w:p>
      <w:r>
        <w:t>Honorarios del dictamen: $34,300.00</w:t>
      </w:r>
    </w:p>
    <w:p>
      <w:pPr>
        <w:pStyle w:val="Heading2"/>
      </w:pPr>
      <w:r>
        <w:t>Antecedentes</w:t>
      </w:r>
    </w:p>
    <w:p>
      <w:r>
        <w:t>El cliente solicitó este dictamen para evaluar el riesgo legal de la operación antes de continuar con las siguientes etapas del proyecto.</w:t>
      </w:r>
    </w:p>
    <w:p>
      <w:pPr>
        <w:pStyle w:val="Heading2"/>
      </w:pPr>
      <w:r>
        <w:t>Detalle</w:t>
      </w:r>
    </w:p>
    <w:p>
      <w:r>
        <w:t>El dictamen en materia fiscal solicitado por Rubén Cazares Montaño concluyó con una opinión desfavorable y un riesgo identificado bajo.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