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LEG-26-0359</w:t>
      </w:r>
    </w:p>
    <w:p>
      <w:r>
        <w:t>Tipo de documento: Notificación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2026-04-17</w:t>
      </w:r>
    </w:p>
    <w:p>
      <w:r>
        <w:t>Responsable interno: Silvia Padrón Nájera</w:t>
      </w:r>
    </w:p>
    <w:p>
      <w:r>
        <w:t>Clasificación de datos: Uso interno — datos sintéticos de prueba</w:t>
      </w:r>
    </w:p>
    <w:p>
      <w:r>
        <w:t>Remitente: Emilio Castañón Rivas</w:t>
      </w:r>
    </w:p>
    <w:p>
      <w:r>
        <w:t>Destinatario: Diana Cervantes Uribe</w:t>
      </w:r>
    </w:p>
    <w:p>
      <w:r>
        <w:t>Vía de envío: Correo electrónico</w:t>
      </w:r>
    </w:p>
    <w:p>
      <w:r>
        <w:t>Fecha de envío: 2026-04-17</w:t>
      </w:r>
    </w:p>
    <w:p>
      <w:r>
        <w:t>Respuesta requerida antes de: 2026-10-01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notificación dirigido a Diana Cervantes Uribe se envió por correo electrónico y requiere respuesta antes del 1 de octubre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