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LEG-26-0369</w:t>
      </w:r>
    </w:p>
    <w:p>
      <w:r>
        <w:t>Tipo de documento: Oficio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2026-05-27</w:t>
      </w:r>
    </w:p>
    <w:p>
      <w:r>
        <w:t>Responsable interno: Emilio Castañón Rivas</w:t>
      </w:r>
    </w:p>
    <w:p>
      <w:r>
        <w:t>Clasificación de datos: Uso interno — datos sintéticos de prueba</w:t>
      </w:r>
    </w:p>
    <w:p>
      <w:r>
        <w:t>Remitente: Teresa Camacho Beltrán</w:t>
      </w:r>
    </w:p>
    <w:p>
      <w:r>
        <w:t>Destinatario: Diana Cervantes Uribe</w:t>
      </w:r>
    </w:p>
    <w:p>
      <w:r>
        <w:t>Vía de envío: Notificación personal</w:t>
      </w:r>
    </w:p>
    <w:p>
      <w:r>
        <w:t>Fecha de envío: 2026-05-27</w:t>
      </w:r>
    </w:p>
    <w:p>
      <w:r>
        <w:t>Respuesta requerida antes de: 2026-10-10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oficio dirigido a Diana Cervantes Uribe se envió por notificación personal y requiere respuesta antes del 10 de octubre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