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LEG-26-0372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2026-01-01</w:t>
      </w:r>
    </w:p>
    <w:p>
      <w:r>
        <w:t>Responsable interno: Tomás Villaseñor Cano</w:t>
      </w:r>
    </w:p>
    <w:p>
      <w:r>
        <w:t>Clasificación de datos: Uso interno — datos sintéticos de prueba</w:t>
      </w:r>
    </w:p>
    <w:p>
      <w:r>
        <w:t>Remitente: Guillermo Peredo Sáenz</w:t>
      </w:r>
    </w:p>
    <w:p>
      <w:r>
        <w:t>Destinatario: Andrea Solano Trujillo</w:t>
      </w:r>
    </w:p>
    <w:p>
      <w:r>
        <w:t>Vía de envío: Correo certificado</w:t>
      </w:r>
    </w:p>
    <w:p>
      <w:r>
        <w:t>Fecha de envío: 2026-01-01</w:t>
      </w:r>
    </w:p>
    <w:p>
      <w:r>
        <w:t>Respuesta requerida antes de: 2026-12-11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pago dirigido a Andrea Solano Trujillo se envió por correo certificado y requiere respuesta antes del 11 de diciembre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