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LEG-26-0376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2026-05-02</w:t>
      </w:r>
    </w:p>
    <w:p>
      <w:r>
        <w:t>Responsable interno: Gabriela Tinoco Reséndiz</w:t>
      </w:r>
    </w:p>
    <w:p>
      <w:r>
        <w:t>Clasificación de datos: Uso interno — datos sintéticos de prueba</w:t>
      </w:r>
    </w:p>
    <w:p>
      <w:r>
        <w:t>Remitente: Patricia Guzmán Alcalá</w:t>
      </w:r>
    </w:p>
    <w:p>
      <w:r>
        <w:t>Destinatario: Emilio Castañón Rivas</w:t>
      </w:r>
    </w:p>
    <w:p>
      <w:r>
        <w:t>Vía de envío: Mensajería</w:t>
      </w:r>
    </w:p>
    <w:p>
      <w:r>
        <w:t>Fecha de envío: 2026-05-02</w:t>
      </w:r>
    </w:p>
    <w:p>
      <w:r>
        <w:t>Respuesta requerida antes de: 2026-09-25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requerimiento de información dirigido a Emilio Castañón Rivas se envió por mensajería y requiere respuesta antes del 25 de septiembre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