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LEG-26-0378</w:t>
      </w:r>
    </w:p>
    <w:p>
      <w:r>
        <w:t>Tipo de documento: Notificación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2026-04-05</w:t>
      </w:r>
    </w:p>
    <w:p>
      <w:r>
        <w:t>Responsable interno: Andrea Solano Trujillo</w:t>
      </w:r>
    </w:p>
    <w:p>
      <w:r>
        <w:t>Clasificación de datos: Uso interno — datos sintéticos de prueba</w:t>
      </w:r>
    </w:p>
    <w:p>
      <w:r>
        <w:t>Remitente: Fernando Espinoza Cabral</w:t>
      </w:r>
    </w:p>
    <w:p>
      <w:r>
        <w:t>Destinatario: Ramiro Aguilar Bátiz</w:t>
      </w:r>
    </w:p>
    <w:p>
      <w:r>
        <w:t>Vía de envío: Correo certificado</w:t>
      </w:r>
    </w:p>
    <w:p>
      <w:r>
        <w:t>Fecha de envío: 2026-04-05</w:t>
      </w:r>
    </w:p>
    <w:p>
      <w:r>
        <w:t>Respuesta requerida antes de: 2026-06-13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notificación dirigido a Ramiro Aguilar Bátiz se envió por correo certificado y requiere respuesta antes del 13 de junio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