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LEG-26-0380</w:t>
      </w:r>
    </w:p>
    <w:p>
      <w:r>
        <w:t>Tipo de documento: Carta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2026-04-13</w:t>
      </w:r>
    </w:p>
    <w:p>
      <w:r>
        <w:t>Responsable interno: Ximena Bravo Terán</w:t>
      </w:r>
    </w:p>
    <w:p>
      <w:r>
        <w:t>Clasificación de datos: Uso interno — datos sintéticos de prueba</w:t>
      </w:r>
    </w:p>
    <w:p>
      <w:r>
        <w:t>Remitente: Rubén Cazares Montaño</w:t>
      </w:r>
    </w:p>
    <w:p>
      <w:r>
        <w:t>Destinatario: Grupo Financiero Robledo, S.A.B.</w:t>
      </w:r>
    </w:p>
    <w:p>
      <w:r>
        <w:t>Vía de envío: Correo certificado</w:t>
      </w:r>
    </w:p>
    <w:p>
      <w:r>
        <w:t>Fecha de envío: 2026-04-13</w:t>
      </w:r>
    </w:p>
    <w:p>
      <w:r>
        <w:t>Respuesta requerida antes de: 2026-11-23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carta dirigido a Grupo Financiero Robledo, S.A.B. se envió por correo certificado y requiere respuesta antes del 23 de noviembre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