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LEG-26-0387</w:t>
      </w:r>
    </w:p>
    <w:p>
      <w:r>
        <w:t>Tipo de documento: Carta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2026-11-26</w:t>
      </w:r>
    </w:p>
    <w:p>
      <w:r>
        <w:t>Responsable interno: Tomás Villaseñor Cano</w:t>
      </w:r>
    </w:p>
    <w:p>
      <w:r>
        <w:t>Clasificación de datos: Uso interno — datos sintéticos de prueba</w:t>
      </w:r>
    </w:p>
    <w:p>
      <w:r>
        <w:t>Remitente: Leonardo Sarabia Del Toro</w:t>
      </w:r>
    </w:p>
    <w:p>
      <w:r>
        <w:t>Destinatario: Inmobiliaria Los Encinos, S.A. de C.V.</w:t>
      </w:r>
    </w:p>
    <w:p>
      <w:r>
        <w:t>Vía de envío: Correo electrónico</w:t>
      </w:r>
    </w:p>
    <w:p>
      <w:r>
        <w:t>Fecha de envío: 2026-11-26</w:t>
      </w:r>
    </w:p>
    <w:p>
      <w:r>
        <w:t>Respuesta requerida antes de: 2026-12-26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carta dirigido a Inmobiliaria Los Encinos, S.A. de C.V. se envió por correo electrónico y requiere respuesta antes del 26 de diciembre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