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LEG-26-0395</w:t>
      </w:r>
    </w:p>
    <w:p>
      <w:r>
        <w:t>Tipo de documento: Carta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2026-11-25</w:t>
      </w:r>
    </w:p>
    <w:p>
      <w:r>
        <w:t>Responsable interno: Cecilia Montemayor Ruiz</w:t>
      </w:r>
    </w:p>
    <w:p>
      <w:r>
        <w:t>Clasificación de datos: Uso interno — datos sintéticos de prueba</w:t>
      </w:r>
    </w:p>
    <w:p>
      <w:r>
        <w:t>Remitente: Patricia Guzmán Alcalá</w:t>
      </w:r>
    </w:p>
    <w:p>
      <w:r>
        <w:t>Destinatario: Patricia Guzmán Alcalá</w:t>
      </w:r>
    </w:p>
    <w:p>
      <w:r>
        <w:t>Vía de envío: Correo electrónico</w:t>
      </w:r>
    </w:p>
    <w:p>
      <w:r>
        <w:t>Fecha de envío: 2026-11-25</w:t>
      </w:r>
    </w:p>
    <w:p>
      <w:r>
        <w:t>Respuesta requerida antes de: 2026-04-26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carta dirigido a Patricia Guzmán Alcalá se envió por correo electrónico y requiere respuesta antes del 26 de abril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