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LEG-26-0397</w:t>
      </w:r>
    </w:p>
    <w:p>
      <w:r>
        <w:t>Tipo de documento: Notificación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2026-06-28</w:t>
      </w:r>
    </w:p>
    <w:p>
      <w:r>
        <w:t>Responsable interno: Marisol Quiñones Baeza</w:t>
      </w:r>
    </w:p>
    <w:p>
      <w:r>
        <w:t>Clasificación de datos: Uso interno — datos sintéticos de prueba</w:t>
      </w:r>
    </w:p>
    <w:p>
      <w:r>
        <w:t>Remitente: Héctor Larrañaga Ibarra</w:t>
      </w:r>
    </w:p>
    <w:p>
      <w:r>
        <w:t>Destinatario: Enrique Villavicencio Mora</w:t>
      </w:r>
    </w:p>
    <w:p>
      <w:r>
        <w:t>Vía de envío: Notificación personal</w:t>
      </w:r>
    </w:p>
    <w:p>
      <w:r>
        <w:t>Fecha de envío: 2026-06-28</w:t>
      </w:r>
    </w:p>
    <w:p>
      <w:r>
        <w:t>Respuesta requerida antes de: 2026-10-10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notificación dirigido a Enrique Villavicencio Mora se envió por notificación personal y requiere respuesta antes del 10 de octubre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