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LEG-26-0420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2026-06-20</w:t>
      </w:r>
    </w:p>
    <w:p>
      <w:r>
        <w:t>Responsable interno: Lucía Barragán Nieto</w:t>
      </w:r>
    </w:p>
    <w:p>
      <w:r>
        <w:t>Clasificación de datos: Uso interno — datos sintéticos de prueba</w:t>
      </w:r>
    </w:p>
    <w:p>
      <w:r>
        <w:t>Remitente: Mauricio Sotelo Grijalva</w:t>
      </w:r>
    </w:p>
    <w:p>
      <w:r>
        <w:t>Destinatario: Beatriz Cordero Villalobos</w:t>
      </w:r>
    </w:p>
    <w:p>
      <w:r>
        <w:t>Vía de envío: Correo electrónico</w:t>
      </w:r>
    </w:p>
    <w:p>
      <w:r>
        <w:t>Fecha de envío: 2026-06-20</w:t>
      </w:r>
    </w:p>
    <w:p>
      <w:r>
        <w:t>Respuesta requerida antes de: 2026-10-03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Beatriz Cordero Villalobos se envió por correo electrónico y requiere respuesta antes del 3 de octubre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