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840"/>
      </w:pPr>
    </w:p>
    <w:p>
      <w:pPr>
        <w:spacing w:after="280"/>
        <w:jc w:val="center"/>
      </w:pPr>
      <w:r>
        <w:rPr>
          <w:rFonts w:ascii="Calibri" w:hAnsi="Calibri" w:eastAsia="Calibri"/>
          <w:b/>
          <w:color w:val="087E8B"/>
          <w:sz w:val="22"/>
        </w:rPr>
        <w:t>IMPLEMENTATION BLUEPRINT</w:t>
      </w:r>
    </w:p>
    <w:p>
      <w:pPr>
        <w:spacing w:after="240"/>
        <w:jc w:val="center"/>
      </w:pPr>
      <w:r>
        <w:rPr>
          <w:rFonts w:ascii="Calibri" w:hAnsi="Calibri" w:eastAsia="Calibri"/>
          <w:b/>
          <w:color w:val="17365D"/>
          <w:sz w:val="60"/>
        </w:rPr>
        <w:t>National AMR Ecosystem</w:t>
        <w:br/>
        <w:t>for India</w:t>
      </w:r>
    </w:p>
    <w:p>
      <w:pPr>
        <w:spacing w:after="560"/>
        <w:jc w:val="center"/>
      </w:pPr>
      <w:r>
        <w:rPr>
          <w:rFonts w:ascii="Calibri" w:hAnsi="Calibri" w:eastAsia="Calibri"/>
          <w:color w:val="1F4D78"/>
          <w:sz w:val="30"/>
        </w:rPr>
        <w:t>A federated One Health programme built on AMRIT edge applications</w:t>
        <w:br/>
        <w:t>and a national web coordination platform</w:t>
      </w:r>
    </w:p>
    <w:p>
      <w:pPr>
        <w:spacing w:after="480"/>
        <w:pBdr>
          <w:bottom w:val="single" w:sz="18" w:space="8" w:color="087E8B"/>
        </w:pBdr>
      </w:pPr>
    </w:p>
    <w:tbl>
      <w:tblPr>
        <w:tblW w:type="dxa" w:w="9360"/>
        <w:jc w:val="left"/>
        <w:tblLayout w:type="fixed"/>
        <w:tblLook w:firstColumn="1" w:firstRow="1" w:lastColumn="0" w:lastRow="0" w:noHBand="0" w:noVBand="1" w:val="04A0"/>
        <w:tblInd w:w="120" w:type="dxa"/>
        <w:tblBorders>
          <w:top w:val="single" w:sz="6" w:space="0" w:color="CCD6DF"/>
          <w:left w:val="single" w:sz="6" w:space="0" w:color="CCD6DF"/>
          <w:bottom w:val="single" w:sz="6" w:space="0" w:color="CCD6DF"/>
          <w:right w:val="single" w:sz="6" w:space="0" w:color="CCD6DF"/>
          <w:insideH w:val="single" w:sz="6" w:space="0" w:color="CCD6DF"/>
          <w:insideV w:val="single" w:sz="6" w:space="0" w:color="CCD6DF"/>
        </w:tblBorders>
      </w:tblPr>
      <w:tblGrid>
        <w:gridCol w:w="1800"/>
        <w:gridCol w:w="7560"/>
      </w:tblGrid>
      <w:tr>
        <w:trPr>
          <w:tblHeader w:val="true"/>
        </w:trPr>
        <w:tc>
          <w:tcPr>
            <w:tcW w:type="dxa" w:w="1800"/>
            <w:vAlign w:val="center"/>
            <w:tcMar>
              <w:top w:w="90" w:type="dxa"/>
              <w:start w:w="120" w:type="dxa"/>
              <w:bottom w:w="90" w:type="dxa"/>
              <w:end w:w="120" w:type="dxa"/>
            </w:tcMar>
            <w:shd w:fill="17365D"/>
          </w:tcPr>
          <w:p>
            <w:pPr>
              <w:pStyle w:val="TableText"/>
            </w:pPr>
            <w:r>
              <w:rPr>
                <w:rFonts w:ascii="Calibri" w:hAnsi="Calibri" w:eastAsia="Calibri"/>
                <w:b/>
                <w:color w:val="FFFFFF"/>
                <w:sz w:val="17"/>
              </w:rPr>
              <w:t>DOCUMENT PROFILE</w:t>
            </w:r>
          </w:p>
        </w:tc>
        <w:tc>
          <w:tcPr>
            <w:tcW w:type="dxa" w:w="7560"/>
            <w:vAlign w:val="center"/>
            <w:tcMar>
              <w:top w:w="90" w:type="dxa"/>
              <w:start w:w="120" w:type="dxa"/>
              <w:bottom w:w="90" w:type="dxa"/>
              <w:end w:w="120" w:type="dxa"/>
            </w:tcMar>
            <w:shd w:fill="17365D"/>
          </w:tcPr>
          <w:p>
            <w:pPr>
              <w:pStyle w:val="TableText"/>
            </w:pPr>
            <w:r>
              <w:rPr>
                <w:rFonts w:ascii="Calibri" w:hAnsi="Calibri" w:eastAsia="Calibri"/>
                <w:b/>
                <w:color w:val="FFFFFF"/>
                <w:sz w:val="17"/>
              </w:rPr>
              <w:t>DETAILS</w:t>
            </w:r>
          </w:p>
        </w:tc>
      </w:tr>
      <w:tr>
        <w:tc>
          <w:tcPr>
            <w:tcW w:type="dxa" w:w="1800"/>
            <w:vAlign w:val="center"/>
            <w:tcMar>
              <w:top w:w="90" w:type="dxa"/>
              <w:start w:w="120" w:type="dxa"/>
              <w:bottom w:w="90" w:type="dxa"/>
              <w:end w:w="120" w:type="dxa"/>
            </w:tcMar>
            <w:shd w:fill="E8EEF5"/>
          </w:tcPr>
          <w:p>
            <w:pPr>
              <w:pStyle w:val="TableText"/>
            </w:pPr>
            <w:r>
              <w:rPr>
                <w:rFonts w:ascii="Calibri" w:hAnsi="Calibri" w:eastAsia="Calibri"/>
                <w:b/>
                <w:color w:val="17365D"/>
                <w:sz w:val="19"/>
              </w:rPr>
              <w:t>Prepared for</w:t>
            </w:r>
          </w:p>
        </w:tc>
        <w:tc>
          <w:tcPr>
            <w:tcW w:type="dxa" w:w="7560"/>
            <w:vAlign w:val="center"/>
            <w:tcMar>
              <w:top w:w="90" w:type="dxa"/>
              <w:start w:w="120" w:type="dxa"/>
              <w:bottom w:w="90" w:type="dxa"/>
              <w:end w:w="120" w:type="dxa"/>
            </w:tcMar>
          </w:tcPr>
          <w:p>
            <w:pPr>
              <w:pStyle w:val="TableText"/>
            </w:pPr>
            <w:r>
              <w:rPr>
                <w:rFonts w:ascii="Calibri" w:hAnsi="Calibri" w:eastAsia="Calibri"/>
                <w:b w:val="0"/>
                <w:color w:val="1F2933"/>
                <w:sz w:val="19"/>
              </w:rPr>
              <w:t>Office of the Principal Scientific Adviser and national/State/UT One Health stakeholders</w:t>
            </w:r>
          </w:p>
        </w:tc>
      </w:tr>
      <w:tr>
        <w:tc>
          <w:tcPr>
            <w:tcW w:type="dxa" w:w="1800"/>
            <w:vAlign w:val="center"/>
            <w:tcMar>
              <w:top w:w="90" w:type="dxa"/>
              <w:start w:w="120" w:type="dxa"/>
              <w:bottom w:w="90" w:type="dxa"/>
              <w:end w:w="120" w:type="dxa"/>
            </w:tcMar>
            <w:shd w:fill="E8EEF5"/>
          </w:tcPr>
          <w:p>
            <w:pPr>
              <w:pStyle w:val="TableText"/>
            </w:pPr>
            <w:r>
              <w:rPr>
                <w:rFonts w:ascii="Calibri" w:hAnsi="Calibri" w:eastAsia="Calibri"/>
                <w:b/>
                <w:color w:val="17365D"/>
                <w:sz w:val="19"/>
              </w:rPr>
              <w:t>Planning horizon</w:t>
            </w:r>
          </w:p>
        </w:tc>
        <w:tc>
          <w:tcPr>
            <w:tcW w:type="dxa" w:w="7560"/>
            <w:vAlign w:val="center"/>
            <w:tcMar>
              <w:top w:w="90" w:type="dxa"/>
              <w:start w:w="120" w:type="dxa"/>
              <w:bottom w:w="90" w:type="dxa"/>
              <w:end w:w="120" w:type="dxa"/>
            </w:tcMar>
          </w:tcPr>
          <w:p>
            <w:pPr>
              <w:pStyle w:val="TableText"/>
            </w:pPr>
            <w:r>
              <w:rPr>
                <w:rFonts w:ascii="Calibri" w:hAnsi="Calibri" w:eastAsia="Calibri"/>
                <w:b w:val="0"/>
                <w:color w:val="1F2933"/>
                <w:sz w:val="19"/>
              </w:rPr>
              <w:t>48 months from approval • first operational release in 9 months</w:t>
            </w:r>
          </w:p>
        </w:tc>
      </w:tr>
      <w:tr>
        <w:tc>
          <w:tcPr>
            <w:tcW w:type="dxa" w:w="1800"/>
            <w:vAlign w:val="center"/>
            <w:tcMar>
              <w:top w:w="90" w:type="dxa"/>
              <w:start w:w="120" w:type="dxa"/>
              <w:bottom w:w="90" w:type="dxa"/>
              <w:end w:w="120" w:type="dxa"/>
            </w:tcMar>
            <w:shd w:fill="E8EEF5"/>
          </w:tcPr>
          <w:p>
            <w:pPr>
              <w:pStyle w:val="TableText"/>
            </w:pPr>
            <w:r>
              <w:rPr>
                <w:rFonts w:ascii="Calibri" w:hAnsi="Calibri" w:eastAsia="Calibri"/>
                <w:b/>
                <w:color w:val="17365D"/>
                <w:sz w:val="19"/>
              </w:rPr>
              <w:t>Version</w:t>
            </w:r>
          </w:p>
        </w:tc>
        <w:tc>
          <w:tcPr>
            <w:tcW w:type="dxa" w:w="7560"/>
            <w:vAlign w:val="center"/>
            <w:tcMar>
              <w:top w:w="90" w:type="dxa"/>
              <w:start w:w="120" w:type="dxa"/>
              <w:bottom w:w="90" w:type="dxa"/>
              <w:end w:w="120" w:type="dxa"/>
            </w:tcMar>
          </w:tcPr>
          <w:p>
            <w:pPr>
              <w:pStyle w:val="TableText"/>
            </w:pPr>
            <w:r>
              <w:rPr>
                <w:rFonts w:ascii="Calibri" w:hAnsi="Calibri" w:eastAsia="Calibri"/>
                <w:b w:val="0"/>
                <w:color w:val="1F2933"/>
                <w:sz w:val="19"/>
              </w:rPr>
              <w:t>1.0 • 13 July 2026</w:t>
            </w:r>
          </w:p>
        </w:tc>
      </w:tr>
      <w:tr>
        <w:tc>
          <w:tcPr>
            <w:tcW w:type="dxa" w:w="1800"/>
            <w:vAlign w:val="center"/>
            <w:tcMar>
              <w:top w:w="90" w:type="dxa"/>
              <w:start w:w="120" w:type="dxa"/>
              <w:bottom w:w="90" w:type="dxa"/>
              <w:end w:w="120" w:type="dxa"/>
            </w:tcMar>
            <w:shd w:fill="E8EEF5"/>
          </w:tcPr>
          <w:p>
            <w:pPr>
              <w:pStyle w:val="TableText"/>
            </w:pPr>
            <w:r>
              <w:rPr>
                <w:rFonts w:ascii="Calibri" w:hAnsi="Calibri" w:eastAsia="Calibri"/>
                <w:b/>
                <w:color w:val="17365D"/>
                <w:sz w:val="19"/>
              </w:rPr>
              <w:t>Status</w:t>
            </w:r>
          </w:p>
        </w:tc>
        <w:tc>
          <w:tcPr>
            <w:tcW w:type="dxa" w:w="7560"/>
            <w:vAlign w:val="center"/>
            <w:tcMar>
              <w:top w:w="90" w:type="dxa"/>
              <w:start w:w="120" w:type="dxa"/>
              <w:bottom w:w="90" w:type="dxa"/>
              <w:end w:w="120" w:type="dxa"/>
            </w:tcMar>
          </w:tcPr>
          <w:p>
            <w:pPr>
              <w:pStyle w:val="TableText"/>
            </w:pPr>
            <w:r>
              <w:rPr>
                <w:rFonts w:ascii="Calibri" w:hAnsi="Calibri" w:eastAsia="Calibri"/>
                <w:b w:val="0"/>
                <w:color w:val="1F2933"/>
                <w:sz w:val="19"/>
              </w:rPr>
              <w:t>For consultation, costing, pilot approval and phased execution</w:t>
            </w:r>
          </w:p>
        </w:tc>
      </w:tr>
    </w:tbl>
    <w:p>
      <w:pPr>
        <w:spacing w:before="640"/>
        <w:jc w:val="center"/>
      </w:pPr>
      <w:r>
        <w:rPr>
          <w:rFonts w:ascii="Calibri" w:hAnsi="Calibri" w:eastAsia="Calibri"/>
          <w:i/>
          <w:color w:val="5B6573"/>
          <w:sz w:val="19"/>
        </w:rPr>
        <w:t>Decision-ready • standards-led • privacy-by-design • executable by work package</w:t>
      </w:r>
    </w:p>
    <w:p>
      <w:r>
        <w:br w:type="page"/>
      </w:r>
    </w:p>
    <w:p>
      <w:pPr>
        <w:pStyle w:val="Heading1"/>
        <w:pageBreakBefore w:val="0"/>
      </w:pPr>
      <w:r>
        <w:t>Contents</w:t>
      </w:r>
    </w:p>
    <w:p>
      <w:pPr>
        <w:jc w:val="left"/>
      </w:pPr>
      <w:r>
        <w:t>The document is organised as a decision and delivery sequence. Word’s Navigation Pane can be used to jump between numbered sections.</w:t>
      </w:r>
    </w:p>
    <w:p>
      <w:pPr>
        <w:spacing w:after="60"/>
        <w:ind w:left="216"/>
      </w:pPr>
      <w:r>
        <w:rPr>
          <w:rFonts w:ascii="Calibri" w:hAnsi="Calibri" w:eastAsia="Calibri"/>
          <w:color w:val="1F4D78"/>
          <w:sz w:val="20"/>
        </w:rPr>
        <w:t>1. Purpose and intended use</w:t>
      </w:r>
    </w:p>
    <w:p>
      <w:pPr>
        <w:spacing w:after="60"/>
        <w:ind w:left="216"/>
      </w:pPr>
      <w:r>
        <w:rPr>
          <w:rFonts w:ascii="Calibri" w:hAnsi="Calibri" w:eastAsia="Calibri"/>
          <w:color w:val="1F4D78"/>
          <w:sz w:val="20"/>
        </w:rPr>
        <w:t>2. Executive assessment</w:t>
      </w:r>
    </w:p>
    <w:p>
      <w:pPr>
        <w:spacing w:after="60"/>
        <w:ind w:left="216"/>
      </w:pPr>
      <w:r>
        <w:rPr>
          <w:rFonts w:ascii="Calibri" w:hAnsi="Calibri" w:eastAsia="Calibri"/>
          <w:color w:val="1F4D78"/>
          <w:sz w:val="20"/>
        </w:rPr>
        <w:t>3. National mission outcomes</w:t>
      </w:r>
    </w:p>
    <w:p>
      <w:pPr>
        <w:spacing w:after="60"/>
        <w:ind w:left="216"/>
      </w:pPr>
      <w:r>
        <w:rPr>
          <w:rFonts w:ascii="Calibri" w:hAnsi="Calibri" w:eastAsia="Calibri"/>
          <w:color w:val="1F4D78"/>
          <w:sz w:val="20"/>
        </w:rPr>
        <w:t>4. Target operating model</w:t>
      </w:r>
    </w:p>
    <w:p>
      <w:pPr>
        <w:spacing w:after="60"/>
        <w:ind w:left="216"/>
      </w:pPr>
      <w:r>
        <w:rPr>
          <w:rFonts w:ascii="Calibri" w:hAnsi="Calibri" w:eastAsia="Calibri"/>
          <w:color w:val="1F4D78"/>
          <w:sz w:val="20"/>
        </w:rPr>
        <w:t>5. Target technical architecture</w:t>
      </w:r>
    </w:p>
    <w:p>
      <w:pPr>
        <w:spacing w:after="60"/>
        <w:ind w:left="216"/>
      </w:pPr>
      <w:r>
        <w:rPr>
          <w:rFonts w:ascii="Calibri" w:hAnsi="Calibri" w:eastAsia="Calibri"/>
          <w:color w:val="1F4D78"/>
          <w:sz w:val="20"/>
        </w:rPr>
        <w:t>6. Product portfolio</w:t>
      </w:r>
    </w:p>
    <w:p>
      <w:pPr>
        <w:spacing w:after="60"/>
        <w:ind w:left="216"/>
      </w:pPr>
      <w:r>
        <w:rPr>
          <w:rFonts w:ascii="Calibri" w:hAnsi="Calibri" w:eastAsia="Calibri"/>
          <w:color w:val="1F4D78"/>
          <w:sz w:val="20"/>
        </w:rPr>
        <w:t>7. Surveillance and analytics</w:t>
      </w:r>
    </w:p>
    <w:p>
      <w:pPr>
        <w:spacing w:after="60"/>
        <w:ind w:left="216"/>
      </w:pPr>
      <w:r>
        <w:rPr>
          <w:rFonts w:ascii="Calibri" w:hAnsi="Calibri" w:eastAsia="Calibri"/>
          <w:color w:val="1F4D78"/>
          <w:sz w:val="20"/>
        </w:rPr>
        <w:t>8. Governance, privacy and cybersecurity</w:t>
      </w:r>
    </w:p>
    <w:p>
      <w:pPr>
        <w:spacing w:after="60"/>
        <w:ind w:left="216"/>
      </w:pPr>
      <w:r>
        <w:rPr>
          <w:rFonts w:ascii="Calibri" w:hAnsi="Calibri" w:eastAsia="Calibri"/>
          <w:color w:val="1F4D78"/>
          <w:sz w:val="20"/>
        </w:rPr>
        <w:t>9. Implementation roadmap</w:t>
      </w:r>
    </w:p>
    <w:p>
      <w:pPr>
        <w:spacing w:after="60"/>
        <w:ind w:left="216"/>
      </w:pPr>
      <w:r>
        <w:rPr>
          <w:rFonts w:ascii="Calibri" w:hAnsi="Calibri" w:eastAsia="Calibri"/>
          <w:color w:val="1F4D78"/>
          <w:sz w:val="20"/>
        </w:rPr>
        <w:t>10. Executable backlog</w:t>
      </w:r>
    </w:p>
    <w:p>
      <w:pPr>
        <w:spacing w:after="60"/>
        <w:ind w:left="216"/>
      </w:pPr>
      <w:r>
        <w:rPr>
          <w:rFonts w:ascii="Calibri" w:hAnsi="Calibri" w:eastAsia="Calibri"/>
          <w:color w:val="1F4D78"/>
          <w:sz w:val="20"/>
        </w:rPr>
        <w:t>11. Testing and assurance</w:t>
      </w:r>
    </w:p>
    <w:p>
      <w:pPr>
        <w:spacing w:after="60"/>
        <w:ind w:left="216"/>
      </w:pPr>
      <w:r>
        <w:rPr>
          <w:rFonts w:ascii="Calibri" w:hAnsi="Calibri" w:eastAsia="Calibri"/>
          <w:color w:val="1F4D78"/>
          <w:sz w:val="20"/>
        </w:rPr>
        <w:t>12. Adoption and support</w:t>
      </w:r>
    </w:p>
    <w:p>
      <w:pPr>
        <w:spacing w:after="60"/>
        <w:ind w:left="216"/>
      </w:pPr>
      <w:r>
        <w:rPr>
          <w:rFonts w:ascii="Calibri" w:hAnsi="Calibri" w:eastAsia="Calibri"/>
          <w:color w:val="1F4D78"/>
          <w:sz w:val="20"/>
        </w:rPr>
        <w:t>13. Procurement and delivery</w:t>
      </w:r>
    </w:p>
    <w:p>
      <w:pPr>
        <w:spacing w:after="60"/>
        <w:ind w:left="216"/>
      </w:pPr>
      <w:r>
        <w:rPr>
          <w:rFonts w:ascii="Calibri" w:hAnsi="Calibri" w:eastAsia="Calibri"/>
          <w:color w:val="1F4D78"/>
          <w:sz w:val="20"/>
        </w:rPr>
        <w:t>14. Monitoring and evaluation</w:t>
      </w:r>
    </w:p>
    <w:p>
      <w:pPr>
        <w:spacing w:after="60"/>
        <w:ind w:left="216"/>
      </w:pPr>
      <w:r>
        <w:rPr>
          <w:rFonts w:ascii="Calibri" w:hAnsi="Calibri" w:eastAsia="Calibri"/>
          <w:color w:val="1F4D78"/>
          <w:sz w:val="20"/>
        </w:rPr>
        <w:t>15. Risk register</w:t>
      </w:r>
    </w:p>
    <w:p>
      <w:pPr>
        <w:spacing w:after="60"/>
        <w:ind w:left="216"/>
      </w:pPr>
      <w:r>
        <w:rPr>
          <w:rFonts w:ascii="Calibri" w:hAnsi="Calibri" w:eastAsia="Calibri"/>
          <w:color w:val="1F4D78"/>
          <w:sz w:val="20"/>
        </w:rPr>
        <w:t>16. First 100 days</w:t>
      </w:r>
    </w:p>
    <w:p>
      <w:pPr>
        <w:spacing w:after="60"/>
        <w:ind w:left="216"/>
      </w:pPr>
      <w:r>
        <w:rPr>
          <w:rFonts w:ascii="Calibri" w:hAnsi="Calibri" w:eastAsia="Calibri"/>
          <w:color w:val="1F4D78"/>
          <w:sz w:val="20"/>
        </w:rPr>
        <w:t>17. Leadership decision gates</w:t>
      </w:r>
    </w:p>
    <w:p>
      <w:pPr>
        <w:spacing w:after="60"/>
        <w:ind w:left="216"/>
      </w:pPr>
      <w:r>
        <w:rPr>
          <w:rFonts w:ascii="Calibri" w:hAnsi="Calibri" w:eastAsia="Calibri"/>
          <w:color w:val="1F4D78"/>
          <w:sz w:val="20"/>
        </w:rPr>
        <w:t>18. Definition of success</w:t>
      </w:r>
    </w:p>
    <w:p>
      <w:pPr>
        <w:spacing w:after="60"/>
        <w:ind w:left="216"/>
      </w:pPr>
      <w:r>
        <w:rPr>
          <w:rFonts w:ascii="Calibri" w:hAnsi="Calibri" w:eastAsia="Calibri"/>
          <w:color w:val="1F4D78"/>
          <w:sz w:val="20"/>
        </w:rPr>
        <w:t>Appendices A–E</w:t>
      </w:r>
    </w:p>
    <w:p>
      <w:r>
        <w:br w:type="page"/>
      </w:r>
    </w:p>
    <w:p>
      <w:pPr>
        <w:pStyle w:val="Callout"/>
        <w:shd w:fill="E7F3F4"/>
        <w:pBdr>
          <w:left w:val="single" w:sz="24" w:space="8" w:color="087E8B"/>
        </w:pBdr>
      </w:pPr>
      <w:r>
        <w:rPr>
          <w:rFonts w:ascii="Calibri" w:hAnsi="Calibri" w:eastAsia="Calibri"/>
          <w:b/>
          <w:color w:val="17365D"/>
          <w:sz w:val="21"/>
        </w:rPr>
        <w:t>EXECUTIVE DECISION.</w:t>
      </w:r>
      <w:r>
        <w:rPr>
          <w:rFonts w:ascii="Calibri" w:hAnsi="Calibri" w:eastAsia="Calibri"/>
          <w:b w:val="0"/>
          <w:color w:val="17365D"/>
          <w:sz w:val="21"/>
        </w:rPr>
        <w:t xml:space="preserve"> Retain the desktop-plus-web-server combination, but treat it as the nucleus of a wider federated AMR ecosystem—not as the complete ecosystem. The present AMRIT application is a credible offline-first human microbiology and aggregate-surveillance node. The central Django server is a useful coordination, privacy and dashboard layer. National deployment should harden and generalise both while adding antimicrobial consumption and use, stewardship, IPC/HAI, animal/fisheries/food/environment surveillance, residues, genomics, quality assurance, supply-chain, programme monitoring and multi-tier response functions.</w:t>
      </w:r>
    </w:p>
    <w:p>
      <w:pPr>
        <w:pStyle w:val="Heading1"/>
      </w:pPr>
      <w:r>
        <w:rPr>
          <w:rFonts w:ascii="Calibri" w:hAnsi="Calibri" w:eastAsia="Calibri"/>
          <w:b/>
          <w:color w:val="2E74B5"/>
          <w:sz w:val="32"/>
        </w:rPr>
        <w:t>1. Purpose and intended use</w:t>
      </w:r>
    </w:p>
    <w:p>
      <w:r>
        <w:rPr>
          <w:rFonts w:ascii="Calibri" w:hAnsi="Calibri" w:eastAsia="Calibri"/>
          <w:b w:val="0"/>
          <w:color w:val="1F2933"/>
        </w:rPr>
        <w:t>This document answers two questions. First, is the current AMRIT desktop application plus central web server sufficient for a nationwide AMR ecosystem? Second, what programme, operating model and technical roadmap would make that combination sufficient?</w:t>
      </w:r>
    </w:p>
    <w:p>
      <w:r>
        <w:rPr>
          <w:rFonts w:ascii="Calibri" w:hAnsi="Calibri" w:eastAsia="Calibri"/>
          <w:b w:val="0"/>
          <w:color w:val="1F2933"/>
        </w:rPr>
        <w:t>It is written as an execution blueprint. Every major recommendation is translated into a work package, accountable owner, dependency, acceptance gate or measurable outcome. It can therefore be used to commission a detailed project report, form technical working groups, prepare requests for proposals, create a product backlog, implement pilots, and govern scale-up.</w:t>
      </w:r>
    </w:p>
    <w:p>
      <w:r>
        <w:rPr>
          <w:rFonts w:ascii="Calibri" w:hAnsi="Calibri" w:eastAsia="Calibri"/>
          <w:b w:val="0"/>
          <w:color w:val="1F2933"/>
        </w:rPr>
        <w:t>The design is aligned with the National Action Plan on Antimicrobial Resistance 2.0 (2025–2029), the National One Health Mission governance framework, ICMR and NCDC surveillance functions, ABDM's federated and standards-based principles, and international reporting systems such as WHO GLASS, WOAH ANIMUSE and FAO InFARM. [R2–R13]</w:t>
      </w:r>
    </w:p>
    <w:p>
      <w:pPr>
        <w:pStyle w:val="Heading2"/>
      </w:pPr>
      <w:r>
        <w:rPr>
          <w:rFonts w:ascii="Calibri" w:hAnsi="Calibri" w:eastAsia="Calibri"/>
          <w:b/>
          <w:color w:val="2E74B5"/>
          <w:sz w:val="26"/>
        </w:rPr>
        <w:t>1.1 Planning assumptions</w:t>
      </w:r>
    </w:p>
    <w:p>
      <w:pPr>
        <w:jc w:val="left"/>
        <w:numPr>
          <w:ilvl w:val="0"/>
          <w:numId w:val="10"/>
        </w:numPr>
      </w:pPr>
      <w:r>
        <w:rPr>
          <w:rFonts w:ascii="Calibri" w:hAnsi="Calibri" w:eastAsia="Calibri"/>
          <w:b w:val="0"/>
          <w:color w:val="1F2933"/>
        </w:rPr>
        <w:t>India will preserve sectoral ownership of source data while creating a common national coordination and analytics layer.</w:t>
      </w:r>
    </w:p>
    <w:p>
      <w:pPr>
        <w:jc w:val="left"/>
        <w:numPr>
          <w:ilvl w:val="0"/>
          <w:numId w:val="10"/>
        </w:numPr>
      </w:pPr>
      <w:r>
        <w:rPr>
          <w:rFonts w:ascii="Calibri" w:hAnsi="Calibri" w:eastAsia="Calibri"/>
          <w:b w:val="0"/>
          <w:color w:val="1F2933"/>
        </w:rPr>
        <w:t>Patient-level clinical records normally remain at the facility or authorised programme repository; routine national analytics use de-identified aggregates or privacy-protected event data.</w:t>
      </w:r>
    </w:p>
    <w:p>
      <w:pPr>
        <w:jc w:val="left"/>
        <w:numPr>
          <w:ilvl w:val="0"/>
          <w:numId w:val="10"/>
        </w:numPr>
      </w:pPr>
      <w:r>
        <w:rPr>
          <w:rFonts w:ascii="Calibri" w:hAnsi="Calibri" w:eastAsia="Calibri"/>
          <w:b w:val="0"/>
          <w:color w:val="1F2933"/>
        </w:rPr>
        <w:t>A narrowly defined, legally authorised line-list exchange may be permitted for outbreak investigation, patient safety or statutory reporting, but it is not the default surveillance path.</w:t>
      </w:r>
    </w:p>
    <w:p>
      <w:pPr>
        <w:jc w:val="left"/>
        <w:numPr>
          <w:ilvl w:val="0"/>
          <w:numId w:val="10"/>
        </w:numPr>
      </w:pPr>
      <w:r>
        <w:rPr>
          <w:rFonts w:ascii="Calibri" w:hAnsi="Calibri" w:eastAsia="Calibri"/>
          <w:b w:val="0"/>
          <w:color w:val="1F2933"/>
        </w:rPr>
        <w:t>States/UTs can adopt the platform at different maturity levels without losing national interoperability.</w:t>
      </w:r>
    </w:p>
    <w:p>
      <w:pPr>
        <w:jc w:val="left"/>
        <w:numPr>
          <w:ilvl w:val="0"/>
          <w:numId w:val="10"/>
        </w:numPr>
      </w:pPr>
      <w:r>
        <w:rPr>
          <w:rFonts w:ascii="Calibri" w:hAnsi="Calibri" w:eastAsia="Calibri"/>
          <w:b w:val="0"/>
          <w:color w:val="1F2933"/>
        </w:rPr>
        <w:t>Existing national and sectoral systems—rather than a new monolith—remain systems of record wherever they are functional.</w:t>
      </w:r>
    </w:p>
    <w:p>
      <w:pPr>
        <w:jc w:val="left"/>
        <w:numPr>
          <w:ilvl w:val="0"/>
          <w:numId w:val="10"/>
        </w:numPr>
      </w:pPr>
      <w:r>
        <w:rPr>
          <w:rFonts w:ascii="Calibri" w:hAnsi="Calibri" w:eastAsia="Calibri"/>
          <w:b w:val="0"/>
          <w:color w:val="1F2933"/>
        </w:rPr>
        <w:t>Public and private laboratories, hospitals, pharmacies, veterinary services, farms, food laboratories, environmental laboratories and research networks must be representable.</w:t>
      </w:r>
    </w:p>
    <w:p>
      <w:pPr>
        <w:jc w:val="left"/>
        <w:numPr>
          <w:ilvl w:val="0"/>
          <w:numId w:val="10"/>
        </w:numPr>
      </w:pPr>
      <w:r>
        <w:rPr>
          <w:rFonts w:ascii="Calibri" w:hAnsi="Calibri" w:eastAsia="Calibri"/>
          <w:b w:val="0"/>
          <w:color w:val="1F2933"/>
        </w:rPr>
        <w:t>The platform must work in intermittent-connectivity settings and on ordinary hardware.</w:t>
      </w:r>
    </w:p>
    <w:p>
      <w:pPr>
        <w:jc w:val="left"/>
        <w:numPr>
          <w:ilvl w:val="0"/>
          <w:numId w:val="10"/>
        </w:numPr>
      </w:pPr>
      <w:r>
        <w:rPr>
          <w:rFonts w:ascii="Calibri" w:hAnsi="Calibri" w:eastAsia="Calibri"/>
          <w:b w:val="0"/>
          <w:color w:val="1F2933"/>
        </w:rPr>
        <w:t>The first programme increment will prioritise bacterial AMR and antibacterial use while keeping the information model extensible to fungi, tuberculosis, malaria, HIV and other antimicrobial domains.</w:t>
      </w:r>
    </w:p>
    <w:p>
      <w:pPr>
        <w:pStyle w:val="Heading1"/>
      </w:pPr>
      <w:r>
        <w:rPr>
          <w:rFonts w:ascii="Calibri" w:hAnsi="Calibri" w:eastAsia="Calibri"/>
          <w:b/>
          <w:color w:val="2E74B5"/>
          <w:sz w:val="32"/>
        </w:rPr>
        <w:t>2. Executive assessment: is the current combination sufficient?</w:t>
      </w:r>
    </w:p>
    <w:p>
      <w:pPr>
        <w:pStyle w:val="Heading2"/>
      </w:pPr>
      <w:r>
        <w:rPr>
          <w:rFonts w:ascii="Calibri" w:hAnsi="Calibri" w:eastAsia="Calibri"/>
          <w:b/>
          <w:color w:val="2E74B5"/>
          <w:sz w:val="26"/>
        </w:rPr>
        <w:t>2.1 Overall verdict</w:t>
      </w:r>
    </w:p>
    <w:p>
      <w:pPr>
        <w:pStyle w:val="Heading3"/>
      </w:pPr>
      <w:r>
        <w:rPr>
          <w:rFonts w:ascii="Calibri" w:hAnsi="Calibri" w:eastAsia="Calibri"/>
          <w:b/>
          <w:color w:val="1F4D78"/>
          <w:sz w:val="24"/>
        </w:rPr>
        <w:t>No—not as it currently stands. Yes—as the correct architectural starting point.</w:t>
      </w:r>
    </w:p>
    <w:p>
      <w:r>
        <w:rPr>
          <w:rFonts w:ascii="Calibri" w:hAnsi="Calibri" w:eastAsia="Calibri"/>
          <w:b w:val="0"/>
          <w:color w:val="1F2933"/>
        </w:rPr>
        <w:t>The present combination has the right strategic shape: a local application close to where data is generated, plus a central web system that coordinates queries and returns aggregated, role-appropriate intelligence. This matches India's decentralised delivery reality and ABDM's preference for federated architecture. It also reduces the risk of constructing a single national patient-level AMR warehouse.</w:t>
      </w:r>
    </w:p>
    <w:p>
      <w:r>
        <w:rPr>
          <w:rFonts w:ascii="Calibri" w:hAnsi="Calibri" w:eastAsia="Calibri"/>
          <w:b w:val="0"/>
          <w:color w:val="1F2933"/>
        </w:rPr>
        <w:t>However, the current implementation is predominantly a clinical microbiology surveillance system. A national AMR ecosystem must connect resistance, antimicrobial consumption/use, diagnostic stewardship, prescribing, IPC/HAI, access and stock, residues, environmental pathways, animal and food production, genomics, quality systems, policy implementation and field action. It must also support a national operating model, not only software deployment.</w:t>
      </w:r>
    </w:p>
    <w:p>
      <w:pPr>
        <w:pStyle w:val="Heading2"/>
      </w:pPr>
      <w:r>
        <w:rPr>
          <w:rFonts w:ascii="Calibri" w:hAnsi="Calibri" w:eastAsia="Calibri"/>
          <w:b/>
          <w:color w:val="2E74B5"/>
          <w:sz w:val="26"/>
        </w:rPr>
        <w:t>2.2 What the current AMRIT desktop already provides</w:t>
      </w:r>
    </w:p>
    <w:p>
      <w:r>
        <w:rPr>
          <w:rFonts w:ascii="Calibri" w:hAnsi="Calibri" w:eastAsia="Calibri"/>
          <w:b w:val="0"/>
          <w:color w:val="1F2933"/>
        </w:rPr>
        <w:t>The code and retained architecture graph show the following useful capabilities:</w:t>
      </w:r>
    </w:p>
    <w:p>
      <w:pPr>
        <w:jc w:val="left"/>
        <w:numPr>
          <w:ilvl w:val="0"/>
          <w:numId w:val="10"/>
        </w:numPr>
      </w:pPr>
      <w:r>
        <w:rPr>
          <w:rFonts w:ascii="Calibri" w:hAnsi="Calibri" w:eastAsia="Calibri"/>
          <w:b w:val="0"/>
          <w:color w:val="1F2933"/>
        </w:rPr>
        <w:t>Offline-first SQLite persistence for laboratory configuration, isolates, import profiles, macros, reference resources and application preferences.</w:t>
      </w:r>
    </w:p>
    <w:p>
      <w:pPr>
        <w:jc w:val="left"/>
        <w:numPr>
          <w:ilvl w:val="0"/>
          <w:numId w:val="10"/>
        </w:numPr>
      </w:pPr>
      <w:r>
        <w:rPr>
          <w:rFonts w:ascii="Calibri" w:hAnsi="Calibri" w:eastAsia="Calibri"/>
          <w:b w:val="0"/>
          <w:color w:val="1F2933"/>
        </w:rPr>
        <w:t>Manual isolate entry and BacLink/WHONET-style import, with organism, specimen, location and antibiotic-result handling.</w:t>
      </w:r>
    </w:p>
    <w:p>
      <w:pPr>
        <w:jc w:val="left"/>
        <w:numPr>
          <w:ilvl w:val="0"/>
          <w:numId w:val="10"/>
        </w:numPr>
      </w:pPr>
      <w:r>
        <w:rPr>
          <w:rFonts w:ascii="Calibri" w:hAnsi="Calibri" w:eastAsia="Calibri"/>
          <w:b w:val="0"/>
          <w:color w:val="1F2933"/>
        </w:rPr>
        <w:t>WHONET-compatible resources, breakpoints, expected resistance phenotypes, quality-control ranges, expert rules and antibiotic panels.</w:t>
      </w:r>
    </w:p>
    <w:p>
      <w:pPr>
        <w:jc w:val="left"/>
        <w:numPr>
          <w:ilvl w:val="0"/>
          <w:numId w:val="10"/>
        </w:numPr>
      </w:pPr>
      <w:r>
        <w:rPr>
          <w:rFonts w:ascii="Calibri" w:hAnsi="Calibri" w:eastAsia="Calibri"/>
          <w:b w:val="0"/>
          <w:color w:val="1F2933"/>
        </w:rPr>
        <w:t>Analysis, trend and crosstab functions; cumulative resistance measures; first-isolate and infection-origin logic.</w:t>
      </w:r>
    </w:p>
    <w:p>
      <w:pPr>
        <w:jc w:val="left"/>
        <w:numPr>
          <w:ilvl w:val="0"/>
          <w:numId w:val="10"/>
        </w:numPr>
      </w:pPr>
      <w:r>
        <w:rPr>
          <w:rFonts w:ascii="Calibri" w:hAnsi="Calibri" w:eastAsia="Calibri"/>
          <w:b w:val="0"/>
          <w:color w:val="1F2933"/>
        </w:rPr>
        <w:t>Expert alert evaluation for unusual resistance and low-frequency events.</w:t>
      </w:r>
    </w:p>
    <w:p>
      <w:pPr>
        <w:jc w:val="left"/>
        <w:numPr>
          <w:ilvl w:val="0"/>
          <w:numId w:val="10"/>
        </w:numPr>
      </w:pPr>
      <w:r>
        <w:rPr>
          <w:rFonts w:ascii="Calibri" w:hAnsi="Calibri" w:eastAsia="Calibri"/>
          <w:b w:val="0"/>
          <w:color w:val="1F2933"/>
        </w:rPr>
        <w:t>WHONET CSV, HL7 and FHIR export functions.</w:t>
      </w:r>
    </w:p>
    <w:p>
      <w:pPr>
        <w:jc w:val="left"/>
        <w:numPr>
          <w:ilvl w:val="0"/>
          <w:numId w:val="10"/>
        </w:numPr>
      </w:pPr>
      <w:r>
        <w:rPr>
          <w:rFonts w:ascii="Calibri" w:hAnsi="Calibri" w:eastAsia="Calibri"/>
          <w:b w:val="0"/>
          <w:color w:val="1F2933"/>
        </w:rPr>
        <w:t>A thread-safe sync worker that long-polls the central server, executes approved aggregate queries locally and returns aggregate JSON plus an aggregate-safe FHIR bundle.</w:t>
      </w:r>
    </w:p>
    <w:p>
      <w:pPr>
        <w:jc w:val="left"/>
        <w:numPr>
          <w:ilvl w:val="0"/>
          <w:numId w:val="10"/>
        </w:numPr>
      </w:pPr>
      <w:r>
        <w:rPr>
          <w:rFonts w:ascii="Calibri" w:hAnsi="Calibri" w:eastAsia="Calibri"/>
          <w:b w:val="0"/>
          <w:color w:val="1F2933"/>
        </w:rPr>
        <w:t>A documented principle that patient data stays on the device, with bearer authentication, TLS policy, retry behaviour and audit logging.</w:t>
      </w:r>
    </w:p>
    <w:p>
      <w:pPr>
        <w:jc w:val="left"/>
        <w:numPr>
          <w:ilvl w:val="0"/>
          <w:numId w:val="10"/>
        </w:numPr>
      </w:pPr>
      <w:r>
        <w:rPr>
          <w:rFonts w:ascii="Calibri" w:hAnsi="Calibri" w:eastAsia="Calibri"/>
          <w:b w:val="0"/>
          <w:color w:val="1F2933"/>
        </w:rPr>
        <w:t>Facility-level settings, consent for approximate geolocation and local LLM assistance that is separable from surveillance logic.</w:t>
      </w:r>
    </w:p>
    <w:p>
      <w:pPr>
        <w:pStyle w:val="Heading2"/>
      </w:pPr>
      <w:r>
        <w:rPr>
          <w:rFonts w:ascii="Calibri" w:hAnsi="Calibri" w:eastAsia="Calibri"/>
          <w:b/>
          <w:color w:val="2E74B5"/>
          <w:sz w:val="26"/>
        </w:rPr>
        <w:t>2.3 What the current central server already provides</w:t>
      </w:r>
    </w:p>
    <w:p>
      <w:r>
        <w:rPr>
          <w:rFonts w:ascii="Calibri" w:hAnsi="Calibri" w:eastAsia="Calibri"/>
          <w:b w:val="0"/>
          <w:color w:val="1F2933"/>
        </w:rPr>
        <w:t>The Django server contains a meaningful national-portal prototype:</w:t>
      </w:r>
    </w:p>
    <w:p>
      <w:pPr>
        <w:jc w:val="left"/>
        <w:numPr>
          <w:ilvl w:val="0"/>
          <w:numId w:val="10"/>
        </w:numPr>
      </w:pPr>
      <w:r>
        <w:rPr>
          <w:rFonts w:ascii="Calibri" w:hAnsi="Calibri" w:eastAsia="Calibri"/>
          <w:b w:val="0"/>
          <w:color w:val="1F2933"/>
        </w:rPr>
        <w:t>Per-site registry and hashed bearer-token authentication.</w:t>
      </w:r>
    </w:p>
    <w:p>
      <w:pPr>
        <w:jc w:val="left"/>
        <w:numPr>
          <w:ilvl w:val="0"/>
          <w:numId w:val="10"/>
        </w:numPr>
      </w:pPr>
      <w:r>
        <w:rPr>
          <w:rFonts w:ascii="Calibri" w:hAnsi="Calibri" w:eastAsia="Calibri"/>
          <w:b w:val="0"/>
          <w:color w:val="1F2933"/>
        </w:rPr>
        <w:t>Persistent query, dispatch, result and poll-audit models.</w:t>
      </w:r>
    </w:p>
    <w:p>
      <w:pPr>
        <w:jc w:val="left"/>
        <w:numPr>
          <w:ilvl w:val="0"/>
          <w:numId w:val="10"/>
        </w:numPr>
      </w:pPr>
      <w:r>
        <w:rPr>
          <w:rFonts w:ascii="Calibri" w:hAnsi="Calibri" w:eastAsia="Calibri"/>
          <w:b w:val="0"/>
          <w:color w:val="1F2933"/>
        </w:rPr>
        <w:t>PII guardrails that reject banned identifiers in site responses.</w:t>
      </w:r>
    </w:p>
    <w:p>
      <w:pPr>
        <w:jc w:val="left"/>
        <w:numPr>
          <w:ilvl w:val="0"/>
          <w:numId w:val="10"/>
        </w:numPr>
      </w:pPr>
      <w:r>
        <w:rPr>
          <w:rFonts w:ascii="Calibri" w:hAnsi="Calibri" w:eastAsia="Calibri"/>
          <w:b w:val="0"/>
          <w:color w:val="1F2933"/>
        </w:rPr>
        <w:t>Aggregate analytics for isolate counts, organism and specimen distributions and resistance rates, with a configurable k-anonymity floor and Wilson confidence intervals.</w:t>
      </w:r>
    </w:p>
    <w:p>
      <w:pPr>
        <w:jc w:val="left"/>
        <w:numPr>
          <w:ilvl w:val="0"/>
          <w:numId w:val="10"/>
        </w:numPr>
      </w:pPr>
      <w:r>
        <w:rPr>
          <w:rFonts w:ascii="Calibri" w:hAnsi="Calibri" w:eastAsia="Calibri"/>
          <w:b w:val="0"/>
          <w:color w:val="1F2933"/>
        </w:rPr>
        <w:t>FHIR R4 aggregate outputs for downstream systems.</w:t>
      </w:r>
    </w:p>
    <w:p>
      <w:pPr>
        <w:jc w:val="left"/>
        <w:numPr>
          <w:ilvl w:val="0"/>
          <w:numId w:val="10"/>
        </w:numPr>
      </w:pPr>
      <w:r>
        <w:rPr>
          <w:rFonts w:ascii="Calibri" w:hAnsi="Calibri" w:eastAsia="Calibri"/>
          <w:b w:val="0"/>
          <w:color w:val="1F2933"/>
        </w:rPr>
        <w:t>Role and geographic scope controls for national, State/UT, district, epidemiology, hospital, research, press and public views.</w:t>
      </w:r>
    </w:p>
    <w:p>
      <w:pPr>
        <w:jc w:val="left"/>
        <w:numPr>
          <w:ilvl w:val="0"/>
          <w:numId w:val="10"/>
        </w:numPr>
      </w:pPr>
      <w:r>
        <w:rPr>
          <w:rFonts w:ascii="Calibri" w:hAnsi="Calibri" w:eastAsia="Calibri"/>
          <w:b w:val="0"/>
          <w:color w:val="1F2933"/>
        </w:rPr>
        <w:t>KPI snapshots, data freshness, live refresh runs and reporting-site coverage.</w:t>
      </w:r>
    </w:p>
    <w:p>
      <w:pPr>
        <w:jc w:val="left"/>
        <w:numPr>
          <w:ilvl w:val="0"/>
          <w:numId w:val="10"/>
        </w:numPr>
      </w:pPr>
      <w:r>
        <w:rPr>
          <w:rFonts w:ascii="Calibri" w:hAnsi="Calibri" w:eastAsia="Calibri"/>
          <w:b w:val="0"/>
          <w:color w:val="1F2933"/>
        </w:rPr>
        <w:t>Threshold rules, action plans, action points and Action Taken Reports tied to aggregate evidence.</w:t>
      </w:r>
    </w:p>
    <w:p>
      <w:pPr>
        <w:jc w:val="left"/>
        <w:numPr>
          <w:ilvl w:val="0"/>
          <w:numId w:val="10"/>
        </w:numPr>
      </w:pPr>
      <w:r>
        <w:rPr>
          <w:rFonts w:ascii="Calibri" w:hAnsi="Calibri" w:eastAsia="Calibri"/>
          <w:b w:val="0"/>
          <w:color w:val="1F2933"/>
        </w:rPr>
        <w:t>Postgres, Redis, ASGI/Channels, scheduled refresh and Docker packaging suitable for pilot deployment.</w:t>
      </w:r>
    </w:p>
    <w:p>
      <w:pPr>
        <w:pStyle w:val="Heading2"/>
      </w:pPr>
      <w:r>
        <w:rPr>
          <w:rFonts w:ascii="Calibri" w:hAnsi="Calibri" w:eastAsia="Calibri"/>
          <w:b/>
          <w:color w:val="2E74B5"/>
          <w:sz w:val="26"/>
        </w:rPr>
        <w:t>2.4 Critical gaps before national use</w:t>
      </w:r>
    </w:p>
    <w:tbl>
      <w:tblPr>
        <w:tblW w:type="dxa" w:w="9360"/>
        <w:jc w:val="left"/>
        <w:tblLayout w:type="fixed"/>
        <w:tblLook w:firstColumn="1" w:firstRow="1" w:lastColumn="0" w:lastRow="0" w:noHBand="0" w:noVBand="1" w:val="04A0"/>
        <w:tblInd w:w="120" w:type="dxa"/>
        <w:tblBorders>
          <w:top w:val="single" w:sz="6" w:space="0" w:color="D9E1E8"/>
          <w:left w:val="single" w:sz="6" w:space="0" w:color="D9E1E8"/>
          <w:bottom w:val="single" w:sz="6" w:space="0" w:color="D9E1E8"/>
          <w:right w:val="single" w:sz="6" w:space="0" w:color="D9E1E8"/>
          <w:insideH w:val="single" w:sz="6" w:space="0" w:color="D9E1E8"/>
          <w:insideV w:val="single" w:sz="6" w:space="0" w:color="D9E1E8"/>
        </w:tblBorders>
      </w:tblPr>
      <w:tblGrid>
        <w:gridCol w:w="1450"/>
        <w:gridCol w:w="2250"/>
        <w:gridCol w:w="3500"/>
        <w:gridCol w:w="2160"/>
      </w:tblGrid>
      <w:tr>
        <w:trPr>
          <w:tblHeader w:val="true"/>
          <w:cantSplit w:val="true"/>
        </w:trPr>
        <w:tc>
          <w:tcPr>
            <w:tcW w:type="dxa" w:w="1450"/>
            <w:tcMar>
              <w:top w:w="90" w:type="dxa"/>
              <w:start w:w="120" w:type="dxa"/>
              <w:bottom w:w="90" w:type="dxa"/>
              <w:end w:w="120" w:type="dxa"/>
            </w:tcMar>
            <w:vAlign w:val="center"/>
            <w:shd w:fill="17365D"/>
          </w:tcPr>
          <w:p>
            <w:pPr>
              <w:pStyle w:val="TableText"/>
              <w:jc w:val="left"/>
            </w:pPr>
            <w:r>
              <w:rPr>
                <w:rFonts w:ascii="Calibri" w:hAnsi="Calibri" w:eastAsia="Calibri"/>
                <w:b/>
                <w:color w:val="FFFFFF"/>
                <w:sz w:val="18"/>
              </w:rPr>
              <w:t>Domain</w:t>
            </w:r>
          </w:p>
        </w:tc>
        <w:tc>
          <w:tcPr>
            <w:tcW w:type="dxa" w:w="2250"/>
            <w:tcMar>
              <w:top w:w="90" w:type="dxa"/>
              <w:start w:w="120" w:type="dxa"/>
              <w:bottom w:w="90" w:type="dxa"/>
              <w:end w:w="120" w:type="dxa"/>
            </w:tcMar>
            <w:vAlign w:val="center"/>
            <w:shd w:fill="17365D"/>
          </w:tcPr>
          <w:p>
            <w:pPr>
              <w:pStyle w:val="TableText"/>
              <w:jc w:val="left"/>
            </w:pPr>
            <w:r>
              <w:rPr>
                <w:rFonts w:ascii="Calibri" w:hAnsi="Calibri" w:eastAsia="Calibri"/>
                <w:b/>
                <w:color w:val="FFFFFF"/>
                <w:sz w:val="18"/>
              </w:rPr>
              <w:t>Present state</w:t>
            </w:r>
          </w:p>
        </w:tc>
        <w:tc>
          <w:tcPr>
            <w:tcW w:type="dxa" w:w="3500"/>
            <w:tcMar>
              <w:top w:w="90" w:type="dxa"/>
              <w:start w:w="120" w:type="dxa"/>
              <w:bottom w:w="90" w:type="dxa"/>
              <w:end w:w="120" w:type="dxa"/>
            </w:tcMar>
            <w:vAlign w:val="center"/>
            <w:shd w:fill="17365D"/>
          </w:tcPr>
          <w:p>
            <w:pPr>
              <w:pStyle w:val="TableText"/>
              <w:jc w:val="left"/>
            </w:pPr>
            <w:r>
              <w:rPr>
                <w:rFonts w:ascii="Calibri" w:hAnsi="Calibri" w:eastAsia="Calibri"/>
                <w:b/>
                <w:color w:val="FFFFFF"/>
                <w:sz w:val="18"/>
              </w:rPr>
              <w:t>National requirement</w:t>
            </w:r>
          </w:p>
        </w:tc>
        <w:tc>
          <w:tcPr>
            <w:tcW w:type="dxa" w:w="2160"/>
            <w:tcMar>
              <w:top w:w="90" w:type="dxa"/>
              <w:start w:w="120" w:type="dxa"/>
              <w:bottom w:w="90" w:type="dxa"/>
              <w:end w:w="120" w:type="dxa"/>
            </w:tcMar>
            <w:vAlign w:val="center"/>
            <w:shd w:fill="17365D"/>
          </w:tcPr>
          <w:p>
            <w:pPr>
              <w:pStyle w:val="TableText"/>
              <w:jc w:val="left"/>
            </w:pPr>
            <w:r>
              <w:rPr>
                <w:rFonts w:ascii="Calibri" w:hAnsi="Calibri" w:eastAsia="Calibri"/>
                <w:b/>
                <w:color w:val="FFFFFF"/>
                <w:sz w:val="18"/>
              </w:rPr>
              <w:t>Disposition</w:t>
            </w:r>
          </w:p>
        </w:tc>
      </w:tr>
      <w:tr>
        <w:trPr>
          <w:cantSplit w:val="true"/>
        </w:trPr>
        <w:tc>
          <w:tcPr>
            <w:tcW w:type="dxa" w:w="1450"/>
            <w:tcMar>
              <w:top w:w="90" w:type="dxa"/>
              <w:start w:w="120" w:type="dxa"/>
              <w:bottom w:w="90" w:type="dxa"/>
              <w:end w:w="120" w:type="dxa"/>
            </w:tcMar>
            <w:vAlign w:val="center"/>
          </w:tcPr>
          <w:p>
            <w:pPr>
              <w:pStyle w:val="TableText"/>
              <w:jc w:val="left"/>
            </w:pPr>
            <w:r>
              <w:rPr>
                <w:rFonts w:ascii="Calibri" w:hAnsi="Calibri" w:eastAsia="Calibri"/>
                <w:b w:val="0"/>
                <w:color w:val="1F2933"/>
                <w:sz w:val="18"/>
              </w:rPr>
              <w:t>Human AMR laboratory surveillance</w:t>
            </w:r>
          </w:p>
        </w:tc>
        <w:tc>
          <w:tcPr>
            <w:tcW w:type="dxa" w:w="2250"/>
            <w:tcMar>
              <w:top w:w="90" w:type="dxa"/>
              <w:start w:w="120" w:type="dxa"/>
              <w:bottom w:w="90" w:type="dxa"/>
              <w:end w:w="120" w:type="dxa"/>
            </w:tcMar>
            <w:vAlign w:val="center"/>
          </w:tcPr>
          <w:p>
            <w:pPr>
              <w:pStyle w:val="TableText"/>
              <w:jc w:val="left"/>
            </w:pPr>
            <w:r>
              <w:rPr>
                <w:rFonts w:ascii="Calibri" w:hAnsi="Calibri" w:eastAsia="Calibri"/>
                <w:b w:val="0"/>
                <w:color w:val="1F2933"/>
                <w:sz w:val="18"/>
              </w:rPr>
              <w:t>Strong prototype</w:t>
            </w:r>
          </w:p>
        </w:tc>
        <w:tc>
          <w:tcPr>
            <w:tcW w:type="dxa" w:w="3500"/>
            <w:tcMar>
              <w:top w:w="90" w:type="dxa"/>
              <w:start w:w="120" w:type="dxa"/>
              <w:bottom w:w="90" w:type="dxa"/>
              <w:end w:w="120" w:type="dxa"/>
            </w:tcMar>
            <w:vAlign w:val="center"/>
          </w:tcPr>
          <w:p>
            <w:pPr>
              <w:pStyle w:val="TableText"/>
              <w:jc w:val="left"/>
            </w:pPr>
            <w:r>
              <w:rPr>
                <w:rFonts w:ascii="Calibri" w:hAnsi="Calibri" w:eastAsia="Calibri"/>
                <w:b w:val="0"/>
                <w:color w:val="1F2933"/>
                <w:sz w:val="18"/>
              </w:rPr>
              <w:t>Representative public/private network, reference-lab hierarchy, EQA, GLASS-compatible datasets</w:t>
            </w:r>
          </w:p>
        </w:tc>
        <w:tc>
          <w:tcPr>
            <w:tcW w:type="dxa" w:w="2160"/>
            <w:tcMar>
              <w:top w:w="90" w:type="dxa"/>
              <w:start w:w="120" w:type="dxa"/>
              <w:bottom w:w="90" w:type="dxa"/>
              <w:end w:w="120" w:type="dxa"/>
            </w:tcMar>
            <w:vAlign w:val="center"/>
          </w:tcPr>
          <w:p>
            <w:pPr>
              <w:pStyle w:val="TableText"/>
              <w:jc w:val="left"/>
            </w:pPr>
            <w:r>
              <w:rPr>
                <w:rFonts w:ascii="Calibri" w:hAnsi="Calibri" w:eastAsia="Calibri"/>
                <w:b w:val="0"/>
                <w:color w:val="1F2933"/>
                <w:sz w:val="18"/>
              </w:rPr>
              <w:t>Extend and harden</w:t>
            </w:r>
          </w:p>
        </w:tc>
      </w:tr>
      <w:tr>
        <w:trPr>
          <w:cantSplit w:val="true"/>
        </w:trPr>
        <w:tc>
          <w:tcPr>
            <w:tcW w:type="dxa" w:w="1450"/>
            <w:tcMar>
              <w:top w:w="90" w:type="dxa"/>
              <w:start w:w="120" w:type="dxa"/>
              <w:bottom w:w="90" w:type="dxa"/>
              <w:end w:w="120" w:type="dxa"/>
            </w:tcMar>
            <w:vAlign w:val="center"/>
            <w:shd w:fill="F4F6F9"/>
          </w:tcPr>
          <w:p>
            <w:pPr>
              <w:pStyle w:val="TableText"/>
              <w:jc w:val="left"/>
            </w:pPr>
            <w:r>
              <w:rPr>
                <w:rFonts w:ascii="Calibri" w:hAnsi="Calibri" w:eastAsia="Calibri"/>
                <w:b w:val="0"/>
                <w:color w:val="1F2933"/>
                <w:sz w:val="18"/>
              </w:rPr>
              <w:t>Antimicrobial consumption/use</w:t>
            </w:r>
          </w:p>
        </w:tc>
        <w:tc>
          <w:tcPr>
            <w:tcW w:type="dxa" w:w="2250"/>
            <w:tcMar>
              <w:top w:w="90" w:type="dxa"/>
              <w:start w:w="120" w:type="dxa"/>
              <w:bottom w:w="90" w:type="dxa"/>
              <w:end w:w="120" w:type="dxa"/>
            </w:tcMar>
            <w:vAlign w:val="center"/>
            <w:shd w:fill="F4F6F9"/>
          </w:tcPr>
          <w:p>
            <w:pPr>
              <w:pStyle w:val="TableText"/>
              <w:jc w:val="left"/>
            </w:pPr>
            <w:r>
              <w:rPr>
                <w:rFonts w:ascii="Calibri" w:hAnsi="Calibri" w:eastAsia="Calibri"/>
                <w:b w:val="0"/>
                <w:color w:val="1F2933"/>
                <w:sz w:val="18"/>
              </w:rPr>
              <w:t>Not a first-class data stream</w:t>
            </w:r>
          </w:p>
        </w:tc>
        <w:tc>
          <w:tcPr>
            <w:tcW w:type="dxa" w:w="3500"/>
            <w:tcMar>
              <w:top w:w="90" w:type="dxa"/>
              <w:start w:w="120" w:type="dxa"/>
              <w:bottom w:w="90" w:type="dxa"/>
              <w:end w:w="120" w:type="dxa"/>
            </w:tcMar>
            <w:vAlign w:val="center"/>
            <w:shd w:fill="F4F6F9"/>
          </w:tcPr>
          <w:p>
            <w:pPr>
              <w:pStyle w:val="TableText"/>
              <w:jc w:val="left"/>
            </w:pPr>
            <w:r>
              <w:rPr>
                <w:rFonts w:ascii="Calibri" w:hAnsi="Calibri" w:eastAsia="Calibri"/>
                <w:b w:val="0"/>
                <w:color w:val="1F2933"/>
                <w:sz w:val="18"/>
              </w:rPr>
              <w:t>National, state, district, facility and community AMC/AMU; ATC/DDD and AWaRe</w:t>
            </w:r>
          </w:p>
        </w:tc>
        <w:tc>
          <w:tcPr>
            <w:tcW w:type="dxa" w:w="2160"/>
            <w:tcMar>
              <w:top w:w="90" w:type="dxa"/>
              <w:start w:w="120" w:type="dxa"/>
              <w:bottom w:w="90" w:type="dxa"/>
              <w:end w:w="120" w:type="dxa"/>
            </w:tcMar>
            <w:vAlign w:val="center"/>
            <w:shd w:fill="F4F6F9"/>
          </w:tcPr>
          <w:p>
            <w:pPr>
              <w:pStyle w:val="TableText"/>
              <w:jc w:val="left"/>
            </w:pPr>
            <w:r>
              <w:rPr>
                <w:rFonts w:ascii="Calibri" w:hAnsi="Calibri" w:eastAsia="Calibri"/>
                <w:b w:val="0"/>
                <w:color w:val="1F2933"/>
                <w:sz w:val="18"/>
              </w:rPr>
              <w:t>New subsystem</w:t>
            </w:r>
          </w:p>
        </w:tc>
      </w:tr>
      <w:tr>
        <w:trPr>
          <w:cantSplit w:val="true"/>
        </w:trPr>
        <w:tc>
          <w:tcPr>
            <w:tcW w:type="dxa" w:w="1450"/>
            <w:tcMar>
              <w:top w:w="90" w:type="dxa"/>
              <w:start w:w="120" w:type="dxa"/>
              <w:bottom w:w="90" w:type="dxa"/>
              <w:end w:w="120" w:type="dxa"/>
            </w:tcMar>
            <w:vAlign w:val="center"/>
          </w:tcPr>
          <w:p>
            <w:pPr>
              <w:pStyle w:val="TableText"/>
              <w:jc w:val="left"/>
            </w:pPr>
            <w:r>
              <w:rPr>
                <w:rFonts w:ascii="Calibri" w:hAnsi="Calibri" w:eastAsia="Calibri"/>
                <w:b w:val="0"/>
                <w:color w:val="1F2933"/>
                <w:sz w:val="18"/>
              </w:rPr>
              <w:t>Stewardship and prescribing</w:t>
            </w:r>
          </w:p>
        </w:tc>
        <w:tc>
          <w:tcPr>
            <w:tcW w:type="dxa" w:w="2250"/>
            <w:tcMar>
              <w:top w:w="90" w:type="dxa"/>
              <w:start w:w="120" w:type="dxa"/>
              <w:bottom w:w="90" w:type="dxa"/>
              <w:end w:w="120" w:type="dxa"/>
            </w:tcMar>
            <w:vAlign w:val="center"/>
          </w:tcPr>
          <w:p>
            <w:pPr>
              <w:pStyle w:val="TableText"/>
              <w:jc w:val="left"/>
            </w:pPr>
            <w:r>
              <w:rPr>
                <w:rFonts w:ascii="Calibri" w:hAnsi="Calibri" w:eastAsia="Calibri"/>
                <w:b w:val="0"/>
                <w:color w:val="1F2933"/>
                <w:sz w:val="18"/>
              </w:rPr>
              <w:t>Limited to susceptibility decision support</w:t>
            </w:r>
          </w:p>
        </w:tc>
        <w:tc>
          <w:tcPr>
            <w:tcW w:type="dxa" w:w="3500"/>
            <w:tcMar>
              <w:top w:w="90" w:type="dxa"/>
              <w:start w:w="120" w:type="dxa"/>
              <w:bottom w:w="90" w:type="dxa"/>
              <w:end w:w="120" w:type="dxa"/>
            </w:tcMar>
            <w:vAlign w:val="center"/>
          </w:tcPr>
          <w:p>
            <w:pPr>
              <w:pStyle w:val="TableText"/>
              <w:jc w:val="left"/>
            </w:pPr>
            <w:r>
              <w:rPr>
                <w:rFonts w:ascii="Calibri" w:hAnsi="Calibri" w:eastAsia="Calibri"/>
                <w:b w:val="0"/>
                <w:color w:val="1F2933"/>
                <w:sz w:val="18"/>
              </w:rPr>
              <w:t>Prescribing appropriateness, antibiotic time-outs, audit/feedback, facility AMS workbench</w:t>
            </w:r>
          </w:p>
        </w:tc>
        <w:tc>
          <w:tcPr>
            <w:tcW w:type="dxa" w:w="2160"/>
            <w:tcMar>
              <w:top w:w="90" w:type="dxa"/>
              <w:start w:w="120" w:type="dxa"/>
              <w:bottom w:w="90" w:type="dxa"/>
              <w:end w:w="120" w:type="dxa"/>
            </w:tcMar>
            <w:vAlign w:val="center"/>
          </w:tcPr>
          <w:p>
            <w:pPr>
              <w:pStyle w:val="TableText"/>
              <w:jc w:val="left"/>
            </w:pPr>
            <w:r>
              <w:rPr>
                <w:rFonts w:ascii="Calibri" w:hAnsi="Calibri" w:eastAsia="Calibri"/>
                <w:b w:val="0"/>
                <w:color w:val="1F2933"/>
                <w:sz w:val="18"/>
              </w:rPr>
              <w:t>New subsystem</w:t>
            </w:r>
          </w:p>
        </w:tc>
      </w:tr>
      <w:tr>
        <w:trPr>
          <w:cantSplit w:val="true"/>
        </w:trPr>
        <w:tc>
          <w:tcPr>
            <w:tcW w:type="dxa" w:w="1450"/>
            <w:tcMar>
              <w:top w:w="90" w:type="dxa"/>
              <w:start w:w="120" w:type="dxa"/>
              <w:bottom w:w="90" w:type="dxa"/>
              <w:end w:w="120" w:type="dxa"/>
            </w:tcMar>
            <w:vAlign w:val="center"/>
            <w:shd w:fill="F4F6F9"/>
          </w:tcPr>
          <w:p>
            <w:pPr>
              <w:pStyle w:val="TableText"/>
              <w:jc w:val="left"/>
            </w:pPr>
            <w:r>
              <w:rPr>
                <w:rFonts w:ascii="Calibri" w:hAnsi="Calibri" w:eastAsia="Calibri"/>
                <w:b w:val="0"/>
                <w:color w:val="1F2933"/>
                <w:sz w:val="18"/>
              </w:rPr>
              <w:t>IPC and HAI</w:t>
            </w:r>
          </w:p>
        </w:tc>
        <w:tc>
          <w:tcPr>
            <w:tcW w:type="dxa" w:w="2250"/>
            <w:tcMar>
              <w:top w:w="90" w:type="dxa"/>
              <w:start w:w="120" w:type="dxa"/>
              <w:bottom w:w="90" w:type="dxa"/>
              <w:end w:w="120" w:type="dxa"/>
            </w:tcMar>
            <w:vAlign w:val="center"/>
            <w:shd w:fill="F4F6F9"/>
          </w:tcPr>
          <w:p>
            <w:pPr>
              <w:pStyle w:val="TableText"/>
              <w:jc w:val="left"/>
            </w:pPr>
            <w:r>
              <w:rPr>
                <w:rFonts w:ascii="Calibri" w:hAnsi="Calibri" w:eastAsia="Calibri"/>
                <w:b w:val="0"/>
                <w:color w:val="1F2933"/>
                <w:sz w:val="18"/>
              </w:rPr>
              <w:t>Partial infection-origin concepts only</w:t>
            </w:r>
          </w:p>
        </w:tc>
        <w:tc>
          <w:tcPr>
            <w:tcW w:type="dxa" w:w="3500"/>
            <w:tcMar>
              <w:top w:w="90" w:type="dxa"/>
              <w:start w:w="120" w:type="dxa"/>
              <w:bottom w:w="90" w:type="dxa"/>
              <w:end w:w="120" w:type="dxa"/>
            </w:tcMar>
            <w:vAlign w:val="center"/>
            <w:shd w:fill="F4F6F9"/>
          </w:tcPr>
          <w:p>
            <w:pPr>
              <w:pStyle w:val="TableText"/>
              <w:jc w:val="left"/>
            </w:pPr>
            <w:r>
              <w:rPr>
                <w:rFonts w:ascii="Calibri" w:hAnsi="Calibri" w:eastAsia="Calibri"/>
                <w:b w:val="0"/>
                <w:color w:val="1F2933"/>
                <w:sz w:val="18"/>
              </w:rPr>
              <w:t>HAI case definitions, device denominators, IPC assessments, outbreaks and interventions</w:t>
            </w:r>
          </w:p>
        </w:tc>
        <w:tc>
          <w:tcPr>
            <w:tcW w:type="dxa" w:w="2160"/>
            <w:tcMar>
              <w:top w:w="90" w:type="dxa"/>
              <w:start w:w="120" w:type="dxa"/>
              <w:bottom w:w="90" w:type="dxa"/>
              <w:end w:w="120" w:type="dxa"/>
            </w:tcMar>
            <w:vAlign w:val="center"/>
            <w:shd w:fill="F4F6F9"/>
          </w:tcPr>
          <w:p>
            <w:pPr>
              <w:pStyle w:val="TableText"/>
              <w:jc w:val="left"/>
            </w:pPr>
            <w:r>
              <w:rPr>
                <w:rFonts w:ascii="Calibri" w:hAnsi="Calibri" w:eastAsia="Calibri"/>
                <w:b w:val="0"/>
                <w:color w:val="1F2933"/>
                <w:sz w:val="18"/>
              </w:rPr>
              <w:t>New subsystem</w:t>
            </w:r>
          </w:p>
        </w:tc>
      </w:tr>
      <w:tr>
        <w:trPr>
          <w:cantSplit w:val="true"/>
        </w:trPr>
        <w:tc>
          <w:tcPr>
            <w:tcW w:type="dxa" w:w="1450"/>
            <w:tcMar>
              <w:top w:w="90" w:type="dxa"/>
              <w:start w:w="120" w:type="dxa"/>
              <w:bottom w:w="90" w:type="dxa"/>
              <w:end w:w="120" w:type="dxa"/>
            </w:tcMar>
            <w:vAlign w:val="center"/>
          </w:tcPr>
          <w:p>
            <w:pPr>
              <w:pStyle w:val="TableText"/>
              <w:jc w:val="left"/>
            </w:pPr>
            <w:r>
              <w:rPr>
                <w:rFonts w:ascii="Calibri" w:hAnsi="Calibri" w:eastAsia="Calibri"/>
                <w:b w:val="0"/>
                <w:color w:val="1F2933"/>
                <w:sz w:val="18"/>
              </w:rPr>
              <w:t>Animal/fisheries AMR and AMU</w:t>
            </w:r>
          </w:p>
        </w:tc>
        <w:tc>
          <w:tcPr>
            <w:tcW w:type="dxa" w:w="2250"/>
            <w:tcMar>
              <w:top w:w="90" w:type="dxa"/>
              <w:start w:w="120" w:type="dxa"/>
              <w:bottom w:w="90" w:type="dxa"/>
              <w:end w:w="120" w:type="dxa"/>
            </w:tcMar>
            <w:vAlign w:val="center"/>
          </w:tcPr>
          <w:p>
            <w:pPr>
              <w:pStyle w:val="TableText"/>
              <w:jc w:val="left"/>
            </w:pPr>
            <w:r>
              <w:rPr>
                <w:rFonts w:ascii="Calibri" w:hAnsi="Calibri" w:eastAsia="Calibri"/>
                <w:b w:val="0"/>
                <w:color w:val="1F2933"/>
                <w:sz w:val="18"/>
              </w:rPr>
              <w:t>Reference vocabularies only</w:t>
            </w:r>
          </w:p>
        </w:tc>
        <w:tc>
          <w:tcPr>
            <w:tcW w:type="dxa" w:w="3500"/>
            <w:tcMar>
              <w:top w:w="90" w:type="dxa"/>
              <w:start w:w="120" w:type="dxa"/>
              <w:bottom w:w="90" w:type="dxa"/>
              <w:end w:w="120" w:type="dxa"/>
            </w:tcMar>
            <w:vAlign w:val="center"/>
          </w:tcPr>
          <w:p>
            <w:pPr>
              <w:pStyle w:val="TableText"/>
              <w:jc w:val="left"/>
            </w:pPr>
            <w:r>
              <w:rPr>
                <w:rFonts w:ascii="Calibri" w:hAnsi="Calibri" w:eastAsia="Calibri"/>
                <w:b w:val="0"/>
                <w:color w:val="1F2933"/>
                <w:sz w:val="18"/>
              </w:rPr>
              <w:t>Veterinary lab, farm/flock/herd/aquaculture data, prescriptions, sales/use and biosecurity</w:t>
            </w:r>
          </w:p>
        </w:tc>
        <w:tc>
          <w:tcPr>
            <w:tcW w:type="dxa" w:w="2160"/>
            <w:tcMar>
              <w:top w:w="90" w:type="dxa"/>
              <w:start w:w="120" w:type="dxa"/>
              <w:bottom w:w="90" w:type="dxa"/>
              <w:end w:w="120" w:type="dxa"/>
            </w:tcMar>
            <w:vAlign w:val="center"/>
          </w:tcPr>
          <w:p>
            <w:pPr>
              <w:pStyle w:val="TableText"/>
              <w:jc w:val="left"/>
            </w:pPr>
            <w:r>
              <w:rPr>
                <w:rFonts w:ascii="Calibri" w:hAnsi="Calibri" w:eastAsia="Calibri"/>
                <w:b w:val="0"/>
                <w:color w:val="1F2933"/>
                <w:sz w:val="18"/>
              </w:rPr>
              <w:t>New sector applications/connectors</w:t>
            </w:r>
          </w:p>
        </w:tc>
      </w:tr>
      <w:tr>
        <w:trPr>
          <w:cantSplit w:val="true"/>
        </w:trPr>
        <w:tc>
          <w:tcPr>
            <w:tcW w:type="dxa" w:w="1450"/>
            <w:tcMar>
              <w:top w:w="90" w:type="dxa"/>
              <w:start w:w="120" w:type="dxa"/>
              <w:bottom w:w="90" w:type="dxa"/>
              <w:end w:w="120" w:type="dxa"/>
            </w:tcMar>
            <w:vAlign w:val="center"/>
            <w:shd w:fill="F4F6F9"/>
          </w:tcPr>
          <w:p>
            <w:pPr>
              <w:pStyle w:val="TableText"/>
              <w:jc w:val="left"/>
            </w:pPr>
            <w:r>
              <w:rPr>
                <w:rFonts w:ascii="Calibri" w:hAnsi="Calibri" w:eastAsia="Calibri"/>
                <w:b w:val="0"/>
                <w:color w:val="1F2933"/>
                <w:sz w:val="18"/>
              </w:rPr>
              <w:t>Food and residues</w:t>
            </w:r>
          </w:p>
        </w:tc>
        <w:tc>
          <w:tcPr>
            <w:tcW w:type="dxa" w:w="2250"/>
            <w:tcMar>
              <w:top w:w="90" w:type="dxa"/>
              <w:start w:w="120" w:type="dxa"/>
              <w:bottom w:w="90" w:type="dxa"/>
              <w:end w:w="120" w:type="dxa"/>
            </w:tcMar>
            <w:vAlign w:val="center"/>
            <w:shd w:fill="F4F6F9"/>
          </w:tcPr>
          <w:p>
            <w:pPr>
              <w:pStyle w:val="TableText"/>
              <w:jc w:val="left"/>
            </w:pPr>
            <w:r>
              <w:rPr>
                <w:rFonts w:ascii="Calibri" w:hAnsi="Calibri" w:eastAsia="Calibri"/>
                <w:b w:val="0"/>
                <w:color w:val="1F2933"/>
                <w:sz w:val="18"/>
              </w:rPr>
              <w:t>Minimal</w:t>
            </w:r>
          </w:p>
        </w:tc>
        <w:tc>
          <w:tcPr>
            <w:tcW w:type="dxa" w:w="3500"/>
            <w:tcMar>
              <w:top w:w="90" w:type="dxa"/>
              <w:start w:w="120" w:type="dxa"/>
              <w:bottom w:w="90" w:type="dxa"/>
              <w:end w:w="120" w:type="dxa"/>
            </w:tcMar>
            <w:vAlign w:val="center"/>
            <w:shd w:fill="F4F6F9"/>
          </w:tcPr>
          <w:p>
            <w:pPr>
              <w:pStyle w:val="TableText"/>
              <w:jc w:val="left"/>
            </w:pPr>
            <w:r>
              <w:rPr>
                <w:rFonts w:ascii="Calibri" w:hAnsi="Calibri" w:eastAsia="Calibri"/>
                <w:b w:val="0"/>
                <w:color w:val="1F2933"/>
                <w:sz w:val="18"/>
              </w:rPr>
              <w:t>FSSAI food-chain surveillance, residue testing, commodity and source tracing</w:t>
            </w:r>
          </w:p>
        </w:tc>
        <w:tc>
          <w:tcPr>
            <w:tcW w:type="dxa" w:w="2160"/>
            <w:tcMar>
              <w:top w:w="90" w:type="dxa"/>
              <w:start w:w="120" w:type="dxa"/>
              <w:bottom w:w="90" w:type="dxa"/>
              <w:end w:w="120" w:type="dxa"/>
            </w:tcMar>
            <w:vAlign w:val="center"/>
            <w:shd w:fill="F4F6F9"/>
          </w:tcPr>
          <w:p>
            <w:pPr>
              <w:pStyle w:val="TableText"/>
              <w:jc w:val="left"/>
            </w:pPr>
            <w:r>
              <w:rPr>
                <w:rFonts w:ascii="Calibri" w:hAnsi="Calibri" w:eastAsia="Calibri"/>
                <w:b w:val="0"/>
                <w:color w:val="1F2933"/>
                <w:sz w:val="18"/>
              </w:rPr>
              <w:t>New sector applications/connectors</w:t>
            </w:r>
          </w:p>
        </w:tc>
      </w:tr>
      <w:tr>
        <w:trPr>
          <w:cantSplit w:val="true"/>
        </w:trPr>
        <w:tc>
          <w:tcPr>
            <w:tcW w:type="dxa" w:w="1450"/>
            <w:tcMar>
              <w:top w:w="90" w:type="dxa"/>
              <w:start w:w="120" w:type="dxa"/>
              <w:bottom w:w="90" w:type="dxa"/>
              <w:end w:w="120" w:type="dxa"/>
            </w:tcMar>
            <w:vAlign w:val="center"/>
          </w:tcPr>
          <w:p>
            <w:pPr>
              <w:pStyle w:val="TableText"/>
              <w:jc w:val="left"/>
            </w:pPr>
            <w:r>
              <w:rPr>
                <w:rFonts w:ascii="Calibri" w:hAnsi="Calibri" w:eastAsia="Calibri"/>
                <w:b w:val="0"/>
                <w:color w:val="1F2933"/>
                <w:sz w:val="18"/>
              </w:rPr>
              <w:t>Environment</w:t>
            </w:r>
          </w:p>
        </w:tc>
        <w:tc>
          <w:tcPr>
            <w:tcW w:type="dxa" w:w="2250"/>
            <w:tcMar>
              <w:top w:w="90" w:type="dxa"/>
              <w:start w:w="120" w:type="dxa"/>
              <w:bottom w:w="90" w:type="dxa"/>
              <w:end w:w="120" w:type="dxa"/>
            </w:tcMar>
            <w:vAlign w:val="center"/>
          </w:tcPr>
          <w:p>
            <w:pPr>
              <w:pStyle w:val="TableText"/>
              <w:jc w:val="left"/>
            </w:pPr>
            <w:r>
              <w:rPr>
                <w:rFonts w:ascii="Calibri" w:hAnsi="Calibri" w:eastAsia="Calibri"/>
                <w:b w:val="0"/>
                <w:color w:val="1F2933"/>
                <w:sz w:val="18"/>
              </w:rPr>
              <w:t>Minimal</w:t>
            </w:r>
          </w:p>
        </w:tc>
        <w:tc>
          <w:tcPr>
            <w:tcW w:type="dxa" w:w="3500"/>
            <w:tcMar>
              <w:top w:w="90" w:type="dxa"/>
              <w:start w:w="120" w:type="dxa"/>
              <w:bottom w:w="90" w:type="dxa"/>
              <w:end w:w="120" w:type="dxa"/>
            </w:tcMar>
            <w:vAlign w:val="center"/>
          </w:tcPr>
          <w:p>
            <w:pPr>
              <w:pStyle w:val="TableText"/>
              <w:jc w:val="left"/>
            </w:pPr>
            <w:r>
              <w:rPr>
                <w:rFonts w:ascii="Calibri" w:hAnsi="Calibri" w:eastAsia="Calibri"/>
                <w:b w:val="0"/>
                <w:color w:val="1F2933"/>
                <w:sz w:val="18"/>
              </w:rPr>
              <w:t>Wastewater, effluent, surface water, soil, residues, AMR genes and facility discharge context</w:t>
            </w:r>
          </w:p>
        </w:tc>
        <w:tc>
          <w:tcPr>
            <w:tcW w:type="dxa" w:w="2160"/>
            <w:tcMar>
              <w:top w:w="90" w:type="dxa"/>
              <w:start w:w="120" w:type="dxa"/>
              <w:bottom w:w="90" w:type="dxa"/>
              <w:end w:w="120" w:type="dxa"/>
            </w:tcMar>
            <w:vAlign w:val="center"/>
          </w:tcPr>
          <w:p>
            <w:pPr>
              <w:pStyle w:val="TableText"/>
              <w:jc w:val="left"/>
            </w:pPr>
            <w:r>
              <w:rPr>
                <w:rFonts w:ascii="Calibri" w:hAnsi="Calibri" w:eastAsia="Calibri"/>
                <w:b w:val="0"/>
                <w:color w:val="1F2933"/>
                <w:sz w:val="18"/>
              </w:rPr>
              <w:t>New sector applications/connectors</w:t>
            </w:r>
          </w:p>
        </w:tc>
      </w:tr>
      <w:tr>
        <w:trPr>
          <w:cantSplit w:val="true"/>
        </w:trPr>
        <w:tc>
          <w:tcPr>
            <w:tcW w:type="dxa" w:w="1450"/>
            <w:tcMar>
              <w:top w:w="90" w:type="dxa"/>
              <w:start w:w="120" w:type="dxa"/>
              <w:bottom w:w="90" w:type="dxa"/>
              <w:end w:w="120" w:type="dxa"/>
            </w:tcMar>
            <w:vAlign w:val="center"/>
            <w:shd w:fill="F4F6F9"/>
          </w:tcPr>
          <w:p>
            <w:pPr>
              <w:pStyle w:val="TableText"/>
              <w:jc w:val="left"/>
            </w:pPr>
            <w:r>
              <w:rPr>
                <w:rFonts w:ascii="Calibri" w:hAnsi="Calibri" w:eastAsia="Calibri"/>
                <w:b w:val="0"/>
                <w:color w:val="1F2933"/>
                <w:sz w:val="18"/>
              </w:rPr>
              <w:t>Genomics</w:t>
            </w:r>
          </w:p>
        </w:tc>
        <w:tc>
          <w:tcPr>
            <w:tcW w:type="dxa" w:w="2250"/>
            <w:tcMar>
              <w:top w:w="90" w:type="dxa"/>
              <w:start w:w="120" w:type="dxa"/>
              <w:bottom w:w="90" w:type="dxa"/>
              <w:end w:w="120" w:type="dxa"/>
            </w:tcMar>
            <w:vAlign w:val="center"/>
            <w:shd w:fill="F4F6F9"/>
          </w:tcPr>
          <w:p>
            <w:pPr>
              <w:pStyle w:val="TableText"/>
              <w:jc w:val="left"/>
            </w:pPr>
            <w:r>
              <w:rPr>
                <w:rFonts w:ascii="Calibri" w:hAnsi="Calibri" w:eastAsia="Calibri"/>
                <w:b w:val="0"/>
                <w:color w:val="1F2933"/>
                <w:sz w:val="18"/>
              </w:rPr>
              <w:t>Export/confirmation references only</w:t>
            </w:r>
          </w:p>
        </w:tc>
        <w:tc>
          <w:tcPr>
            <w:tcW w:type="dxa" w:w="3500"/>
            <w:tcMar>
              <w:top w:w="90" w:type="dxa"/>
              <w:start w:w="120" w:type="dxa"/>
              <w:bottom w:w="90" w:type="dxa"/>
              <w:end w:w="120" w:type="dxa"/>
            </w:tcMar>
            <w:vAlign w:val="center"/>
            <w:shd w:fill="F4F6F9"/>
          </w:tcPr>
          <w:p>
            <w:pPr>
              <w:pStyle w:val="TableText"/>
              <w:jc w:val="left"/>
            </w:pPr>
            <w:r>
              <w:rPr>
                <w:rFonts w:ascii="Calibri" w:hAnsi="Calibri" w:eastAsia="Calibri"/>
                <w:b w:val="0"/>
                <w:color w:val="1F2933"/>
                <w:sz w:val="18"/>
              </w:rPr>
              <w:t>Sample-to-sequence linkage, resistance genes, clusters, reference-lab workflow</w:t>
            </w:r>
          </w:p>
        </w:tc>
        <w:tc>
          <w:tcPr>
            <w:tcW w:type="dxa" w:w="2160"/>
            <w:tcMar>
              <w:top w:w="90" w:type="dxa"/>
              <w:start w:w="120" w:type="dxa"/>
              <w:bottom w:w="90" w:type="dxa"/>
              <w:end w:w="120" w:type="dxa"/>
            </w:tcMar>
            <w:vAlign w:val="center"/>
            <w:shd w:fill="F4F6F9"/>
          </w:tcPr>
          <w:p>
            <w:pPr>
              <w:pStyle w:val="TableText"/>
              <w:jc w:val="left"/>
            </w:pPr>
            <w:r>
              <w:rPr>
                <w:rFonts w:ascii="Calibri" w:hAnsi="Calibri" w:eastAsia="Calibri"/>
                <w:b w:val="0"/>
                <w:color w:val="1F2933"/>
                <w:sz w:val="18"/>
              </w:rPr>
              <w:t>New genomic service</w:t>
            </w:r>
          </w:p>
        </w:tc>
      </w:tr>
      <w:tr>
        <w:trPr>
          <w:cantSplit w:val="true"/>
        </w:trPr>
        <w:tc>
          <w:tcPr>
            <w:tcW w:type="dxa" w:w="1450"/>
            <w:tcMar>
              <w:top w:w="90" w:type="dxa"/>
              <w:start w:w="120" w:type="dxa"/>
              <w:bottom w:w="90" w:type="dxa"/>
              <w:end w:w="120" w:type="dxa"/>
            </w:tcMar>
            <w:vAlign w:val="center"/>
          </w:tcPr>
          <w:p>
            <w:pPr>
              <w:pStyle w:val="TableText"/>
              <w:jc w:val="left"/>
            </w:pPr>
            <w:r>
              <w:rPr>
                <w:rFonts w:ascii="Calibri" w:hAnsi="Calibri" w:eastAsia="Calibri"/>
                <w:b w:val="0"/>
                <w:color w:val="1F2933"/>
                <w:sz w:val="18"/>
              </w:rPr>
              <w:t>Supply/access/quality</w:t>
            </w:r>
          </w:p>
        </w:tc>
        <w:tc>
          <w:tcPr>
            <w:tcW w:type="dxa" w:w="2250"/>
            <w:tcMar>
              <w:top w:w="90" w:type="dxa"/>
              <w:start w:w="120" w:type="dxa"/>
              <w:bottom w:w="90" w:type="dxa"/>
              <w:end w:w="120" w:type="dxa"/>
            </w:tcMar>
            <w:vAlign w:val="center"/>
          </w:tcPr>
          <w:p>
            <w:pPr>
              <w:pStyle w:val="TableText"/>
              <w:jc w:val="left"/>
            </w:pPr>
            <w:r>
              <w:rPr>
                <w:rFonts w:ascii="Calibri" w:hAnsi="Calibri" w:eastAsia="Calibri"/>
                <w:b w:val="0"/>
                <w:color w:val="1F2933"/>
                <w:sz w:val="18"/>
              </w:rPr>
              <w:t>Absent</w:t>
            </w:r>
          </w:p>
        </w:tc>
        <w:tc>
          <w:tcPr>
            <w:tcW w:type="dxa" w:w="3500"/>
            <w:tcMar>
              <w:top w:w="90" w:type="dxa"/>
              <w:start w:w="120" w:type="dxa"/>
              <w:bottom w:w="90" w:type="dxa"/>
              <w:end w:w="120" w:type="dxa"/>
            </w:tcMar>
            <w:vAlign w:val="center"/>
          </w:tcPr>
          <w:p>
            <w:pPr>
              <w:pStyle w:val="TableText"/>
              <w:jc w:val="left"/>
            </w:pPr>
            <w:r>
              <w:rPr>
                <w:rFonts w:ascii="Calibri" w:hAnsi="Calibri" w:eastAsia="Calibri"/>
                <w:b w:val="0"/>
                <w:color w:val="1F2933"/>
                <w:sz w:val="18"/>
              </w:rPr>
              <w:t>Stock-outs, availability, shortages, NSQ/spurious alerts and supply-chain consumption</w:t>
            </w:r>
          </w:p>
        </w:tc>
        <w:tc>
          <w:tcPr>
            <w:tcW w:type="dxa" w:w="2160"/>
            <w:tcMar>
              <w:top w:w="90" w:type="dxa"/>
              <w:start w:w="120" w:type="dxa"/>
              <w:bottom w:w="90" w:type="dxa"/>
              <w:end w:w="120" w:type="dxa"/>
            </w:tcMar>
            <w:vAlign w:val="center"/>
          </w:tcPr>
          <w:p>
            <w:pPr>
              <w:pStyle w:val="TableText"/>
              <w:jc w:val="left"/>
            </w:pPr>
            <w:r>
              <w:rPr>
                <w:rFonts w:ascii="Calibri" w:hAnsi="Calibri" w:eastAsia="Calibri"/>
                <w:b w:val="0"/>
                <w:color w:val="1F2933"/>
                <w:sz w:val="18"/>
              </w:rPr>
              <w:t>New connector/data product</w:t>
            </w:r>
          </w:p>
        </w:tc>
      </w:tr>
      <w:tr>
        <w:trPr>
          <w:cantSplit w:val="true"/>
        </w:trPr>
        <w:tc>
          <w:tcPr>
            <w:tcW w:type="dxa" w:w="1450"/>
            <w:tcMar>
              <w:top w:w="90" w:type="dxa"/>
              <w:start w:w="120" w:type="dxa"/>
              <w:bottom w:w="90" w:type="dxa"/>
              <w:end w:w="120" w:type="dxa"/>
            </w:tcMar>
            <w:vAlign w:val="center"/>
            <w:shd w:fill="F4F6F9"/>
          </w:tcPr>
          <w:p>
            <w:pPr>
              <w:pStyle w:val="TableText"/>
              <w:jc w:val="left"/>
            </w:pPr>
            <w:r>
              <w:rPr>
                <w:rFonts w:ascii="Calibri" w:hAnsi="Calibri" w:eastAsia="Calibri"/>
                <w:b w:val="0"/>
                <w:color w:val="1F2933"/>
                <w:sz w:val="18"/>
              </w:rPr>
              <w:t>Programme governance</w:t>
            </w:r>
          </w:p>
        </w:tc>
        <w:tc>
          <w:tcPr>
            <w:tcW w:type="dxa" w:w="2250"/>
            <w:tcMar>
              <w:top w:w="90" w:type="dxa"/>
              <w:start w:w="120" w:type="dxa"/>
              <w:bottom w:w="90" w:type="dxa"/>
              <w:end w:w="120" w:type="dxa"/>
            </w:tcMar>
            <w:vAlign w:val="center"/>
            <w:shd w:fill="F4F6F9"/>
          </w:tcPr>
          <w:p>
            <w:pPr>
              <w:pStyle w:val="TableText"/>
              <w:jc w:val="left"/>
            </w:pPr>
            <w:r>
              <w:rPr>
                <w:rFonts w:ascii="Calibri" w:hAnsi="Calibri" w:eastAsia="Calibri"/>
                <w:b w:val="0"/>
                <w:color w:val="1F2933"/>
                <w:sz w:val="18"/>
              </w:rPr>
              <w:t>Role dashboards and plans exist</w:t>
            </w:r>
          </w:p>
        </w:tc>
        <w:tc>
          <w:tcPr>
            <w:tcW w:type="dxa" w:w="3500"/>
            <w:tcMar>
              <w:top w:w="90" w:type="dxa"/>
              <w:start w:w="120" w:type="dxa"/>
              <w:bottom w:w="90" w:type="dxa"/>
              <w:end w:w="120" w:type="dxa"/>
            </w:tcMar>
            <w:vAlign w:val="center"/>
            <w:shd w:fill="F4F6F9"/>
          </w:tcPr>
          <w:p>
            <w:pPr>
              <w:pStyle w:val="TableText"/>
              <w:jc w:val="left"/>
            </w:pPr>
            <w:r>
              <w:rPr>
                <w:rFonts w:ascii="Calibri" w:hAnsi="Calibri" w:eastAsia="Calibri"/>
                <w:b w:val="0"/>
                <w:color w:val="1F2933"/>
                <w:sz w:val="18"/>
              </w:rPr>
              <w:t>NAP/SAP-CAR milestone registry, budgets, evidence, committee decisions and escalation</w:t>
            </w:r>
          </w:p>
        </w:tc>
        <w:tc>
          <w:tcPr>
            <w:tcW w:type="dxa" w:w="2160"/>
            <w:tcMar>
              <w:top w:w="90" w:type="dxa"/>
              <w:start w:w="120" w:type="dxa"/>
              <w:bottom w:w="90" w:type="dxa"/>
              <w:end w:w="120" w:type="dxa"/>
            </w:tcMar>
            <w:vAlign w:val="center"/>
            <w:shd w:fill="F4F6F9"/>
          </w:tcPr>
          <w:p>
            <w:pPr>
              <w:pStyle w:val="TableText"/>
              <w:jc w:val="left"/>
            </w:pPr>
            <w:r>
              <w:rPr>
                <w:rFonts w:ascii="Calibri" w:hAnsi="Calibri" w:eastAsia="Calibri"/>
                <w:b w:val="0"/>
                <w:color w:val="1F2933"/>
                <w:sz w:val="18"/>
              </w:rPr>
              <w:t>Extend server</w:t>
            </w:r>
          </w:p>
        </w:tc>
      </w:tr>
      <w:tr>
        <w:trPr>
          <w:cantSplit w:val="true"/>
        </w:trPr>
        <w:tc>
          <w:tcPr>
            <w:tcW w:type="dxa" w:w="1450"/>
            <w:tcMar>
              <w:top w:w="90" w:type="dxa"/>
              <w:start w:w="120" w:type="dxa"/>
              <w:bottom w:w="90" w:type="dxa"/>
              <w:end w:w="120" w:type="dxa"/>
            </w:tcMar>
            <w:vAlign w:val="center"/>
          </w:tcPr>
          <w:p>
            <w:pPr>
              <w:pStyle w:val="TableText"/>
              <w:jc w:val="left"/>
            </w:pPr>
            <w:r>
              <w:rPr>
                <w:rFonts w:ascii="Calibri" w:hAnsi="Calibri" w:eastAsia="Calibri"/>
                <w:b w:val="0"/>
                <w:color w:val="1F2933"/>
                <w:sz w:val="18"/>
              </w:rPr>
              <w:t>Interoperability</w:t>
            </w:r>
          </w:p>
        </w:tc>
        <w:tc>
          <w:tcPr>
            <w:tcW w:type="dxa" w:w="2250"/>
            <w:tcMar>
              <w:top w:w="90" w:type="dxa"/>
              <w:start w:w="120" w:type="dxa"/>
              <w:bottom w:w="90" w:type="dxa"/>
              <w:end w:w="120" w:type="dxa"/>
            </w:tcMar>
            <w:vAlign w:val="center"/>
          </w:tcPr>
          <w:p>
            <w:pPr>
              <w:pStyle w:val="TableText"/>
              <w:jc w:val="left"/>
            </w:pPr>
            <w:r>
              <w:rPr>
                <w:rFonts w:ascii="Calibri" w:hAnsi="Calibri" w:eastAsia="Calibri"/>
                <w:b w:val="0"/>
                <w:color w:val="1F2933"/>
                <w:sz w:val="18"/>
              </w:rPr>
              <w:t>FHIR/HL7/WHONET foundations</w:t>
            </w:r>
          </w:p>
        </w:tc>
        <w:tc>
          <w:tcPr>
            <w:tcW w:type="dxa" w:w="3500"/>
            <w:tcMar>
              <w:top w:w="90" w:type="dxa"/>
              <w:start w:w="120" w:type="dxa"/>
              <w:bottom w:w="90" w:type="dxa"/>
              <w:end w:w="120" w:type="dxa"/>
            </w:tcMar>
            <w:vAlign w:val="center"/>
          </w:tcPr>
          <w:p>
            <w:pPr>
              <w:pStyle w:val="TableText"/>
              <w:jc w:val="left"/>
            </w:pPr>
            <w:r>
              <w:rPr>
                <w:rFonts w:ascii="Calibri" w:hAnsi="Calibri" w:eastAsia="Calibri"/>
                <w:b w:val="0"/>
                <w:color w:val="1F2933"/>
                <w:sz w:val="18"/>
              </w:rPr>
              <w:t>National implementation guides, master-data services, legacy adapters, NDLM/FSSAI/CPCB/IHIP/ABDM alignment</w:t>
            </w:r>
          </w:p>
        </w:tc>
        <w:tc>
          <w:tcPr>
            <w:tcW w:type="dxa" w:w="2160"/>
            <w:tcMar>
              <w:top w:w="90" w:type="dxa"/>
              <w:start w:w="120" w:type="dxa"/>
              <w:bottom w:w="90" w:type="dxa"/>
              <w:end w:w="120" w:type="dxa"/>
            </w:tcMar>
            <w:vAlign w:val="center"/>
          </w:tcPr>
          <w:p>
            <w:pPr>
              <w:pStyle w:val="TableText"/>
              <w:jc w:val="left"/>
            </w:pPr>
            <w:r>
              <w:rPr>
                <w:rFonts w:ascii="Calibri" w:hAnsi="Calibri" w:eastAsia="Calibri"/>
                <w:b w:val="0"/>
                <w:color w:val="1F2933"/>
                <w:sz w:val="18"/>
              </w:rPr>
              <w:t>Formal standards programme</w:t>
            </w:r>
          </w:p>
        </w:tc>
      </w:tr>
      <w:tr>
        <w:trPr>
          <w:cantSplit w:val="true"/>
        </w:trPr>
        <w:tc>
          <w:tcPr>
            <w:tcW w:type="dxa" w:w="1450"/>
            <w:tcMar>
              <w:top w:w="90" w:type="dxa"/>
              <w:start w:w="120" w:type="dxa"/>
              <w:bottom w:w="90" w:type="dxa"/>
              <w:end w:w="120" w:type="dxa"/>
            </w:tcMar>
            <w:vAlign w:val="center"/>
            <w:shd w:fill="F4F6F9"/>
          </w:tcPr>
          <w:p>
            <w:pPr>
              <w:pStyle w:val="TableText"/>
              <w:jc w:val="left"/>
            </w:pPr>
            <w:r>
              <w:rPr>
                <w:rFonts w:ascii="Calibri" w:hAnsi="Calibri" w:eastAsia="Calibri"/>
                <w:b w:val="0"/>
                <w:color w:val="1F2933"/>
                <w:sz w:val="18"/>
              </w:rPr>
              <w:t>Security and operations</w:t>
            </w:r>
          </w:p>
        </w:tc>
        <w:tc>
          <w:tcPr>
            <w:tcW w:type="dxa" w:w="2250"/>
            <w:tcMar>
              <w:top w:w="90" w:type="dxa"/>
              <w:start w:w="120" w:type="dxa"/>
              <w:bottom w:w="90" w:type="dxa"/>
              <w:end w:w="120" w:type="dxa"/>
            </w:tcMar>
            <w:vAlign w:val="center"/>
            <w:shd w:fill="F4F6F9"/>
          </w:tcPr>
          <w:p>
            <w:pPr>
              <w:pStyle w:val="TableText"/>
              <w:jc w:val="left"/>
            </w:pPr>
            <w:r>
              <w:rPr>
                <w:rFonts w:ascii="Calibri" w:hAnsi="Calibri" w:eastAsia="Calibri"/>
                <w:b w:val="0"/>
                <w:color w:val="1F2933"/>
                <w:sz w:val="18"/>
              </w:rPr>
              <w:t>Pilot controls</w:t>
            </w:r>
          </w:p>
        </w:tc>
        <w:tc>
          <w:tcPr>
            <w:tcW w:type="dxa" w:w="3500"/>
            <w:tcMar>
              <w:top w:w="90" w:type="dxa"/>
              <w:start w:w="120" w:type="dxa"/>
              <w:bottom w:w="90" w:type="dxa"/>
              <w:end w:w="120" w:type="dxa"/>
            </w:tcMar>
            <w:vAlign w:val="center"/>
            <w:shd w:fill="F4F6F9"/>
          </w:tcPr>
          <w:p>
            <w:pPr>
              <w:pStyle w:val="TableText"/>
              <w:jc w:val="left"/>
            </w:pPr>
            <w:r>
              <w:rPr>
                <w:rFonts w:ascii="Calibri" w:hAnsi="Calibri" w:eastAsia="Calibri"/>
                <w:b w:val="0"/>
                <w:color w:val="1F2933"/>
                <w:sz w:val="18"/>
              </w:rPr>
              <w:t>Government-grade IAM, MFA, device identity, PKI, SOC/SIEM, DR, SRE and accreditation</w:t>
            </w:r>
          </w:p>
        </w:tc>
        <w:tc>
          <w:tcPr>
            <w:tcW w:type="dxa" w:w="2160"/>
            <w:tcMar>
              <w:top w:w="90" w:type="dxa"/>
              <w:start w:w="120" w:type="dxa"/>
              <w:bottom w:w="90" w:type="dxa"/>
              <w:end w:w="120" w:type="dxa"/>
            </w:tcMar>
            <w:vAlign w:val="center"/>
            <w:shd w:fill="F4F6F9"/>
          </w:tcPr>
          <w:p>
            <w:pPr>
              <w:pStyle w:val="TableText"/>
              <w:jc w:val="left"/>
            </w:pPr>
            <w:r>
              <w:rPr>
                <w:rFonts w:ascii="Calibri" w:hAnsi="Calibri" w:eastAsia="Calibri"/>
                <w:b w:val="0"/>
                <w:color w:val="1F2933"/>
                <w:sz w:val="18"/>
              </w:rPr>
              <w:t>Major hardening</w:t>
            </w:r>
          </w:p>
        </w:tc>
      </w:tr>
      <w:tr>
        <w:trPr>
          <w:cantSplit w:val="true"/>
        </w:trPr>
        <w:tc>
          <w:tcPr>
            <w:tcW w:type="dxa" w:w="1450"/>
            <w:tcMar>
              <w:top w:w="90" w:type="dxa"/>
              <w:start w:w="120" w:type="dxa"/>
              <w:bottom w:w="90" w:type="dxa"/>
              <w:end w:w="120" w:type="dxa"/>
            </w:tcMar>
            <w:vAlign w:val="center"/>
          </w:tcPr>
          <w:p>
            <w:pPr>
              <w:pStyle w:val="TableText"/>
              <w:jc w:val="left"/>
            </w:pPr>
            <w:r>
              <w:rPr>
                <w:rFonts w:ascii="Calibri" w:hAnsi="Calibri" w:eastAsia="Calibri"/>
                <w:b w:val="0"/>
                <w:color w:val="1F2933"/>
                <w:sz w:val="18"/>
              </w:rPr>
              <w:t>National scalability</w:t>
            </w:r>
          </w:p>
        </w:tc>
        <w:tc>
          <w:tcPr>
            <w:tcW w:type="dxa" w:w="2250"/>
            <w:tcMar>
              <w:top w:w="90" w:type="dxa"/>
              <w:start w:w="120" w:type="dxa"/>
              <w:bottom w:w="90" w:type="dxa"/>
              <w:end w:w="120" w:type="dxa"/>
            </w:tcMar>
            <w:vAlign w:val="center"/>
          </w:tcPr>
          <w:p>
            <w:pPr>
              <w:pStyle w:val="TableText"/>
              <w:jc w:val="left"/>
            </w:pPr>
            <w:r>
              <w:rPr>
                <w:rFonts w:ascii="Calibri" w:hAnsi="Calibri" w:eastAsia="Calibri"/>
                <w:b w:val="0"/>
                <w:color w:val="1F2933"/>
                <w:sz w:val="18"/>
              </w:rPr>
              <w:t>Single deployment topology</w:t>
            </w:r>
          </w:p>
        </w:tc>
        <w:tc>
          <w:tcPr>
            <w:tcW w:type="dxa" w:w="3500"/>
            <w:tcMar>
              <w:top w:w="90" w:type="dxa"/>
              <w:start w:w="120" w:type="dxa"/>
              <w:bottom w:w="90" w:type="dxa"/>
              <w:end w:w="120" w:type="dxa"/>
            </w:tcMar>
            <w:vAlign w:val="center"/>
          </w:tcPr>
          <w:p>
            <w:pPr>
              <w:pStyle w:val="TableText"/>
              <w:jc w:val="left"/>
            </w:pPr>
            <w:r>
              <w:rPr>
                <w:rFonts w:ascii="Calibri" w:hAnsi="Calibri" w:eastAsia="Calibri"/>
                <w:b w:val="0"/>
                <w:color w:val="1F2933"/>
                <w:sz w:val="18"/>
              </w:rPr>
              <w:t>Multi-region production, queue-based dispatch, observability, capacity tests and tenant isolation</w:t>
            </w:r>
          </w:p>
        </w:tc>
        <w:tc>
          <w:tcPr>
            <w:tcW w:type="dxa" w:w="2160"/>
            <w:tcMar>
              <w:top w:w="90" w:type="dxa"/>
              <w:start w:w="120" w:type="dxa"/>
              <w:bottom w:w="90" w:type="dxa"/>
              <w:end w:w="120" w:type="dxa"/>
            </w:tcMar>
            <w:vAlign w:val="center"/>
          </w:tcPr>
          <w:p>
            <w:pPr>
              <w:pStyle w:val="TableText"/>
              <w:jc w:val="left"/>
            </w:pPr>
            <w:r>
              <w:rPr>
                <w:rFonts w:ascii="Calibri" w:hAnsi="Calibri" w:eastAsia="Calibri"/>
                <w:b w:val="0"/>
                <w:color w:val="1F2933"/>
                <w:sz w:val="18"/>
              </w:rPr>
              <w:t>Re-architect selected services</w:t>
            </w:r>
          </w:p>
        </w:tc>
      </w:tr>
      <w:tr>
        <w:trPr>
          <w:cantSplit w:val="true"/>
        </w:trPr>
        <w:tc>
          <w:tcPr>
            <w:tcW w:type="dxa" w:w="1450"/>
            <w:tcMar>
              <w:top w:w="90" w:type="dxa"/>
              <w:start w:w="120" w:type="dxa"/>
              <w:bottom w:w="90" w:type="dxa"/>
              <w:end w:w="120" w:type="dxa"/>
            </w:tcMar>
            <w:vAlign w:val="center"/>
            <w:shd w:fill="F4F6F9"/>
          </w:tcPr>
          <w:p>
            <w:pPr>
              <w:pStyle w:val="TableText"/>
              <w:jc w:val="left"/>
            </w:pPr>
            <w:r>
              <w:rPr>
                <w:rFonts w:ascii="Calibri" w:hAnsi="Calibri" w:eastAsia="Calibri"/>
                <w:b w:val="0"/>
                <w:color w:val="1F2933"/>
                <w:sz w:val="18"/>
              </w:rPr>
              <w:t>Data quality</w:t>
            </w:r>
          </w:p>
        </w:tc>
        <w:tc>
          <w:tcPr>
            <w:tcW w:type="dxa" w:w="2250"/>
            <w:tcMar>
              <w:top w:w="90" w:type="dxa"/>
              <w:start w:w="120" w:type="dxa"/>
              <w:bottom w:w="90" w:type="dxa"/>
              <w:end w:w="120" w:type="dxa"/>
            </w:tcMar>
            <w:vAlign w:val="center"/>
            <w:shd w:fill="F4F6F9"/>
          </w:tcPr>
          <w:p>
            <w:pPr>
              <w:pStyle w:val="TableText"/>
              <w:jc w:val="left"/>
            </w:pPr>
            <w:r>
              <w:rPr>
                <w:rFonts w:ascii="Calibri" w:hAnsi="Calibri" w:eastAsia="Calibri"/>
                <w:b w:val="0"/>
                <w:color w:val="1F2933"/>
                <w:sz w:val="18"/>
              </w:rPr>
              <w:t>Local validations and freshness</w:t>
            </w:r>
          </w:p>
        </w:tc>
        <w:tc>
          <w:tcPr>
            <w:tcW w:type="dxa" w:w="3500"/>
            <w:tcMar>
              <w:top w:w="90" w:type="dxa"/>
              <w:start w:w="120" w:type="dxa"/>
              <w:bottom w:w="90" w:type="dxa"/>
              <w:end w:w="120" w:type="dxa"/>
            </w:tcMar>
            <w:vAlign w:val="center"/>
            <w:shd w:fill="F4F6F9"/>
          </w:tcPr>
          <w:p>
            <w:pPr>
              <w:pStyle w:val="TableText"/>
              <w:jc w:val="left"/>
            </w:pPr>
            <w:r>
              <w:rPr>
                <w:rFonts w:ascii="Calibri" w:hAnsi="Calibri" w:eastAsia="Calibri"/>
                <w:b w:val="0"/>
                <w:color w:val="1F2933"/>
                <w:sz w:val="18"/>
              </w:rPr>
              <w:t>National quality rules, representativeness, EQA, lineage, correction workflow and certification</w:t>
            </w:r>
          </w:p>
        </w:tc>
        <w:tc>
          <w:tcPr>
            <w:tcW w:type="dxa" w:w="2160"/>
            <w:tcMar>
              <w:top w:w="90" w:type="dxa"/>
              <w:start w:w="120" w:type="dxa"/>
              <w:bottom w:w="90" w:type="dxa"/>
              <w:end w:w="120" w:type="dxa"/>
            </w:tcMar>
            <w:vAlign w:val="center"/>
            <w:shd w:fill="F4F6F9"/>
          </w:tcPr>
          <w:p>
            <w:pPr>
              <w:pStyle w:val="TableText"/>
              <w:jc w:val="left"/>
            </w:pPr>
            <w:r>
              <w:rPr>
                <w:rFonts w:ascii="Calibri" w:hAnsi="Calibri" w:eastAsia="Calibri"/>
                <w:b w:val="0"/>
                <w:color w:val="1F2933"/>
                <w:sz w:val="18"/>
              </w:rPr>
              <w:t>New cross-cutting service</w:t>
            </w:r>
          </w:p>
        </w:tc>
      </w:tr>
    </w:tbl>
    <w:p>
      <w:pPr>
        <w:spacing w:after="40"/>
      </w:pPr>
    </w:p>
    <w:p>
      <w:pPr>
        <w:pStyle w:val="Heading2"/>
      </w:pPr>
      <w:r>
        <w:rPr>
          <w:rFonts w:ascii="Calibri" w:hAnsi="Calibri" w:eastAsia="Calibri"/>
          <w:b/>
          <w:color w:val="2E74B5"/>
          <w:sz w:val="26"/>
        </w:rPr>
        <w:t>2.5 Architectural decision</w:t>
      </w:r>
    </w:p>
    <w:p>
      <w:r>
        <w:rPr>
          <w:rFonts w:ascii="Calibri" w:hAnsi="Calibri" w:eastAsia="Calibri"/>
          <w:b w:val="0"/>
          <w:color w:val="1F2933"/>
        </w:rPr>
        <w:t xml:space="preserve">The programme should </w:t>
      </w:r>
      <w:r>
        <w:rPr>
          <w:rFonts w:ascii="Calibri" w:hAnsi="Calibri" w:eastAsia="Calibri"/>
          <w:b/>
          <w:color w:val="1F2933"/>
        </w:rPr>
        <w:t>preserve the federated edge-and-centre pattern</w:t>
      </w:r>
      <w:r>
        <w:rPr>
          <w:rFonts w:ascii="Calibri" w:hAnsi="Calibri" w:eastAsia="Calibri"/>
          <w:b w:val="0"/>
          <w:color w:val="1F2933"/>
        </w:rPr>
        <w:t xml:space="preserve"> and introduce three explicit planes:</w:t>
      </w:r>
    </w:p>
    <w:p>
      <w:pPr>
        <w:jc w:val="left"/>
        <w:numPr>
          <w:ilvl w:val="0"/>
          <w:numId w:val="12"/>
        </w:numPr>
      </w:pPr>
      <w:r>
        <w:rPr>
          <w:rFonts w:ascii="Calibri" w:hAnsi="Calibri" w:eastAsia="Calibri"/>
          <w:b/>
          <w:color w:val="1F2933"/>
        </w:rPr>
        <w:t>Sector edge plane:</w:t>
      </w:r>
      <w:r>
        <w:rPr>
          <w:rFonts w:ascii="Calibri" w:hAnsi="Calibri" w:eastAsia="Calibri"/>
          <w:b w:val="0"/>
          <w:color w:val="1F2933"/>
        </w:rPr>
        <w:t xml:space="preserve"> AMRIT desktop and web/mobile sector applications close to laboratories, facilities, farms and field teams.</w:t>
      </w:r>
    </w:p>
    <w:p>
      <w:pPr>
        <w:jc w:val="left"/>
        <w:numPr>
          <w:ilvl w:val="0"/>
          <w:numId w:val="12"/>
        </w:numPr>
      </w:pPr>
      <w:r>
        <w:rPr>
          <w:rFonts w:ascii="Calibri" w:hAnsi="Calibri" w:eastAsia="Calibri"/>
          <w:b/>
          <w:color w:val="1F2933"/>
        </w:rPr>
        <w:t>Secure exchange plane:</w:t>
      </w:r>
      <w:r>
        <w:rPr>
          <w:rFonts w:ascii="Calibri" w:hAnsi="Calibri" w:eastAsia="Calibri"/>
          <w:b w:val="0"/>
          <w:color w:val="1F2933"/>
        </w:rPr>
        <w:t xml:space="preserve"> standards-based gateways, identity, consent/legal-basis enforcement, validation, terminology and event/aggregate transport.</w:t>
      </w:r>
    </w:p>
    <w:p>
      <w:pPr>
        <w:jc w:val="left"/>
        <w:numPr>
          <w:ilvl w:val="0"/>
          <w:numId w:val="12"/>
        </w:numPr>
      </w:pPr>
      <w:r>
        <w:rPr>
          <w:rFonts w:ascii="Calibri" w:hAnsi="Calibri" w:eastAsia="Calibri"/>
          <w:b/>
          <w:color w:val="1F2933"/>
        </w:rPr>
        <w:t>National coordination plane:</w:t>
      </w:r>
      <w:r>
        <w:rPr>
          <w:rFonts w:ascii="Calibri" w:hAnsi="Calibri" w:eastAsia="Calibri"/>
          <w:b w:val="0"/>
          <w:color w:val="1F2933"/>
        </w:rPr>
        <w:t xml:space="preserve"> cross-sector dashboards, alerts, programme monitoring, workflow, public reporting, authorised research access and international reporting.</w:t>
      </w:r>
    </w:p>
    <w:p>
      <w:r>
        <w:rPr>
          <w:rFonts w:ascii="Calibri" w:hAnsi="Calibri" w:eastAsia="Calibri"/>
          <w:b w:val="0"/>
          <w:color w:val="1F2933"/>
        </w:rPr>
        <w:t xml:space="preserve">The central server should not become the universal transactional system of record. It should be the national AMR </w:t>
      </w:r>
      <w:r>
        <w:rPr>
          <w:rFonts w:ascii="Calibri" w:hAnsi="Calibri" w:eastAsia="Calibri"/>
          <w:b/>
          <w:color w:val="1F2933"/>
        </w:rPr>
        <w:t>control tower, data-product catalogue and response orchestrator</w:t>
      </w:r>
      <w:r>
        <w:rPr>
          <w:rFonts w:ascii="Calibri" w:hAnsi="Calibri" w:eastAsia="Calibri"/>
          <w:b w:val="0"/>
          <w:color w:val="1F2933"/>
        </w:rPr>
        <w:t>.</w:t>
      </w:r>
    </w:p>
    <w:p>
      <w:pPr>
        <w:pStyle w:val="Heading1"/>
      </w:pPr>
      <w:r>
        <w:rPr>
          <w:rFonts w:ascii="Calibri" w:hAnsi="Calibri" w:eastAsia="Calibri"/>
          <w:b/>
          <w:color w:val="2E74B5"/>
          <w:sz w:val="32"/>
        </w:rPr>
        <w:t>3. National mission outcomes</w:t>
      </w:r>
    </w:p>
    <w:p>
      <w:pPr>
        <w:pStyle w:val="Heading2"/>
      </w:pPr>
      <w:r>
        <w:rPr>
          <w:rFonts w:ascii="Calibri" w:hAnsi="Calibri" w:eastAsia="Calibri"/>
          <w:b/>
          <w:color w:val="2E74B5"/>
          <w:sz w:val="26"/>
        </w:rPr>
        <w:t>3.1 Vision</w:t>
      </w:r>
    </w:p>
    <w:p>
      <w:r>
        <w:rPr>
          <w:rFonts w:ascii="Calibri" w:hAnsi="Calibri" w:eastAsia="Calibri"/>
          <w:b w:val="0"/>
          <w:color w:val="1F2933"/>
        </w:rPr>
        <w:t>Create a trusted, federated and action-oriented national AMR ecosystem that converts high-quality human, animal, food, plant and environmental data into earlier detection, safer antimicrobial use, stronger infection prevention, equitable access and accountable One Health action.</w:t>
      </w:r>
    </w:p>
    <w:p>
      <w:pPr>
        <w:pStyle w:val="Heading2"/>
      </w:pPr>
      <w:r>
        <w:rPr>
          <w:rFonts w:ascii="Calibri" w:hAnsi="Calibri" w:eastAsia="Calibri"/>
          <w:b/>
          <w:color w:val="2E74B5"/>
          <w:sz w:val="26"/>
        </w:rPr>
        <w:t>3.2 Outcomes by the end of 48 months</w:t>
      </w:r>
    </w:p>
    <w:p>
      <w:pPr>
        <w:jc w:val="left"/>
        <w:numPr>
          <w:ilvl w:val="0"/>
          <w:numId w:val="10"/>
        </w:numPr>
      </w:pPr>
      <w:r>
        <w:rPr>
          <w:rFonts w:ascii="Calibri" w:hAnsi="Calibri" w:eastAsia="Calibri"/>
          <w:b w:val="0"/>
          <w:color w:val="1F2933"/>
        </w:rPr>
        <w:t>Every State/UT has a functioning AMR cell or designated One Health unit with a digital workbench aligned to SAP-CAR and NAP-AMR 2.0.</w:t>
      </w:r>
    </w:p>
    <w:p>
      <w:pPr>
        <w:jc w:val="left"/>
        <w:numPr>
          <w:ilvl w:val="0"/>
          <w:numId w:val="10"/>
        </w:numPr>
      </w:pPr>
      <w:r>
        <w:rPr>
          <w:rFonts w:ascii="Calibri" w:hAnsi="Calibri" w:eastAsia="Calibri"/>
          <w:b w:val="0"/>
          <w:color w:val="1F2933"/>
        </w:rPr>
        <w:t>Participating human and veterinary laboratories exchange standardised, quality-scored AMR data without requiring a single national patient-level repository.</w:t>
      </w:r>
    </w:p>
    <w:p>
      <w:pPr>
        <w:jc w:val="left"/>
        <w:numPr>
          <w:ilvl w:val="0"/>
          <w:numId w:val="10"/>
        </w:numPr>
      </w:pPr>
      <w:r>
        <w:rPr>
          <w:rFonts w:ascii="Calibri" w:hAnsi="Calibri" w:eastAsia="Calibri"/>
          <w:b w:val="0"/>
          <w:color w:val="1F2933"/>
        </w:rPr>
        <w:t>National and State/UT programmes can measure both resistance and antimicrobial consumption/use, including AWaRe and ATC/DDD indicators in human health and harmonised animal-use indicators.</w:t>
      </w:r>
    </w:p>
    <w:p>
      <w:pPr>
        <w:jc w:val="left"/>
        <w:numPr>
          <w:ilvl w:val="0"/>
          <w:numId w:val="10"/>
        </w:numPr>
      </w:pPr>
      <w:r>
        <w:rPr>
          <w:rFonts w:ascii="Calibri" w:hAnsi="Calibri" w:eastAsia="Calibri"/>
          <w:b w:val="0"/>
          <w:color w:val="1F2933"/>
        </w:rPr>
        <w:t>Sentinel food and environmental networks report AMR organisms/genes and antimicrobial residues using common sampling and metadata standards.</w:t>
      </w:r>
    </w:p>
    <w:p>
      <w:pPr>
        <w:jc w:val="left"/>
        <w:numPr>
          <w:ilvl w:val="0"/>
          <w:numId w:val="10"/>
        </w:numPr>
      </w:pPr>
      <w:r>
        <w:rPr>
          <w:rFonts w:ascii="Calibri" w:hAnsi="Calibri" w:eastAsia="Calibri"/>
          <w:b w:val="0"/>
          <w:color w:val="1F2933"/>
        </w:rPr>
        <w:t>Reference laboratories can link phenotypic signals to genomics and notify emerging threats through a governed alert workflow.</w:t>
      </w:r>
    </w:p>
    <w:p>
      <w:pPr>
        <w:jc w:val="left"/>
        <w:numPr>
          <w:ilvl w:val="0"/>
          <w:numId w:val="10"/>
        </w:numPr>
      </w:pPr>
      <w:r>
        <w:rPr>
          <w:rFonts w:ascii="Calibri" w:hAnsi="Calibri" w:eastAsia="Calibri"/>
          <w:b w:val="0"/>
          <w:color w:val="1F2933"/>
        </w:rPr>
        <w:t>Facilities receive local antibiograms, data-quality feedback and stewardship recommendations; State/UT and national users see representative, uncertainty-aware trends.</w:t>
      </w:r>
    </w:p>
    <w:p>
      <w:pPr>
        <w:jc w:val="left"/>
        <w:numPr>
          <w:ilvl w:val="0"/>
          <w:numId w:val="10"/>
        </w:numPr>
      </w:pPr>
      <w:r>
        <w:rPr>
          <w:rFonts w:ascii="Calibri" w:hAnsi="Calibri" w:eastAsia="Calibri"/>
          <w:b w:val="0"/>
          <w:color w:val="1F2933"/>
        </w:rPr>
        <w:t>Alerts generate owned actions, deadlines, escalation and evidence-backed closure from facility to national level.</w:t>
      </w:r>
    </w:p>
    <w:p>
      <w:pPr>
        <w:jc w:val="left"/>
        <w:numPr>
          <w:ilvl w:val="0"/>
          <w:numId w:val="10"/>
        </w:numPr>
      </w:pPr>
      <w:r>
        <w:rPr>
          <w:rFonts w:ascii="Calibri" w:hAnsi="Calibri" w:eastAsia="Calibri"/>
          <w:b w:val="0"/>
          <w:color w:val="1F2933"/>
        </w:rPr>
        <w:t>Programme leaders can monitor NAP-AMR/SAP-CAR outputs, outcomes, funding, coverage and delays in real time.</w:t>
      </w:r>
    </w:p>
    <w:p>
      <w:pPr>
        <w:jc w:val="left"/>
        <w:numPr>
          <w:ilvl w:val="0"/>
          <w:numId w:val="10"/>
        </w:numPr>
      </w:pPr>
      <w:r>
        <w:rPr>
          <w:rFonts w:ascii="Calibri" w:hAnsi="Calibri" w:eastAsia="Calibri"/>
          <w:b w:val="0"/>
          <w:color w:val="1F2933"/>
        </w:rPr>
        <w:t>Public users receive safe, comprehensible, non-stigmatising aggregates with suppression and uncertainty rules.</w:t>
      </w:r>
    </w:p>
    <w:p>
      <w:pPr>
        <w:jc w:val="left"/>
        <w:numPr>
          <w:ilvl w:val="0"/>
          <w:numId w:val="10"/>
        </w:numPr>
      </w:pPr>
      <w:r>
        <w:rPr>
          <w:rFonts w:ascii="Calibri" w:hAnsi="Calibri" w:eastAsia="Calibri"/>
          <w:b w:val="0"/>
          <w:color w:val="1F2933"/>
        </w:rPr>
        <w:t>India can produce reproducible national submissions for WHO GLASS, WOAH ANIMUSE, FAO InFARM and other authorised reporting requirements.</w:t>
      </w:r>
    </w:p>
    <w:p>
      <w:pPr>
        <w:pStyle w:val="Heading2"/>
      </w:pPr>
      <w:r>
        <w:rPr>
          <w:rFonts w:ascii="Calibri" w:hAnsi="Calibri" w:eastAsia="Calibri"/>
          <w:b/>
          <w:color w:val="2E74B5"/>
          <w:sz w:val="26"/>
        </w:rPr>
        <w:t>3.3 Design principles</w:t>
      </w:r>
    </w:p>
    <w:p>
      <w:pPr>
        <w:jc w:val="left"/>
        <w:numPr>
          <w:ilvl w:val="0"/>
          <w:numId w:val="10"/>
        </w:numPr>
      </w:pPr>
      <w:r>
        <w:rPr>
          <w:rFonts w:ascii="Calibri" w:hAnsi="Calibri" w:eastAsia="Calibri"/>
          <w:b/>
          <w:color w:val="1F2933"/>
        </w:rPr>
        <w:t>Action before display:</w:t>
      </w:r>
      <w:r>
        <w:rPr>
          <w:rFonts w:ascii="Calibri" w:hAnsi="Calibri" w:eastAsia="Calibri"/>
          <w:b w:val="0"/>
          <w:color w:val="1F2933"/>
        </w:rPr>
        <w:t xml:space="preserve"> every alert or deteriorating KPI must have an owner, playbook, due date and closure evidence.</w:t>
      </w:r>
    </w:p>
    <w:p>
      <w:pPr>
        <w:jc w:val="left"/>
        <w:numPr>
          <w:ilvl w:val="0"/>
          <w:numId w:val="10"/>
        </w:numPr>
      </w:pPr>
      <w:r>
        <w:rPr>
          <w:rFonts w:ascii="Calibri" w:hAnsi="Calibri" w:eastAsia="Calibri"/>
          <w:b/>
          <w:color w:val="1F2933"/>
        </w:rPr>
        <w:t>Sector strength before superficial integration:</w:t>
      </w:r>
      <w:r>
        <w:rPr>
          <w:rFonts w:ascii="Calibri" w:hAnsi="Calibri" w:eastAsia="Calibri"/>
          <w:b w:val="0"/>
          <w:color w:val="1F2933"/>
        </w:rPr>
        <w:t xml:space="preserve"> each sector needs a credible surveillance process before cross-sector comparisons are treated as evidence.</w:t>
      </w:r>
    </w:p>
    <w:p>
      <w:pPr>
        <w:jc w:val="left"/>
        <w:numPr>
          <w:ilvl w:val="0"/>
          <w:numId w:val="10"/>
        </w:numPr>
      </w:pPr>
      <w:r>
        <w:rPr>
          <w:rFonts w:ascii="Calibri" w:hAnsi="Calibri" w:eastAsia="Calibri"/>
          <w:b/>
          <w:color w:val="1F2933"/>
        </w:rPr>
        <w:t>Federated by default:</w:t>
      </w:r>
      <w:r>
        <w:rPr>
          <w:rFonts w:ascii="Calibri" w:hAnsi="Calibri" w:eastAsia="Calibri"/>
          <w:b w:val="0"/>
          <w:color w:val="1F2933"/>
        </w:rPr>
        <w:t xml:space="preserve"> raw records stay near their lawful custodian; centralisation requires an explicit purpose and authority.</w:t>
      </w:r>
    </w:p>
    <w:p>
      <w:pPr>
        <w:jc w:val="left"/>
        <w:numPr>
          <w:ilvl w:val="0"/>
          <w:numId w:val="10"/>
        </w:numPr>
      </w:pPr>
      <w:r>
        <w:rPr>
          <w:rFonts w:ascii="Calibri" w:hAnsi="Calibri" w:eastAsia="Calibri"/>
          <w:b/>
          <w:color w:val="1F2933"/>
        </w:rPr>
        <w:t>Minimum necessary data:</w:t>
      </w:r>
      <w:r>
        <w:rPr>
          <w:rFonts w:ascii="Calibri" w:hAnsi="Calibri" w:eastAsia="Calibri"/>
          <w:b w:val="0"/>
          <w:color w:val="1F2933"/>
        </w:rPr>
        <w:t xml:space="preserve"> collect only what supports a defined surveillance, care, regulatory or programme objective.</w:t>
      </w:r>
    </w:p>
    <w:p>
      <w:pPr>
        <w:jc w:val="left"/>
        <w:numPr>
          <w:ilvl w:val="0"/>
          <w:numId w:val="10"/>
        </w:numPr>
      </w:pPr>
      <w:r>
        <w:rPr>
          <w:rFonts w:ascii="Calibri" w:hAnsi="Calibri" w:eastAsia="Calibri"/>
          <w:b/>
          <w:color w:val="1F2933"/>
        </w:rPr>
        <w:t>Standards at the boundary:</w:t>
      </w:r>
      <w:r>
        <w:rPr>
          <w:rFonts w:ascii="Calibri" w:hAnsi="Calibri" w:eastAsia="Calibri"/>
          <w:b w:val="0"/>
          <w:color w:val="1F2933"/>
        </w:rPr>
        <w:t xml:space="preserve"> internal systems may vary, but exchanged data must conform to national profiles and code systems.</w:t>
      </w:r>
    </w:p>
    <w:p>
      <w:pPr>
        <w:jc w:val="left"/>
        <w:numPr>
          <w:ilvl w:val="0"/>
          <w:numId w:val="10"/>
        </w:numPr>
      </w:pPr>
      <w:r>
        <w:rPr>
          <w:rFonts w:ascii="Calibri" w:hAnsi="Calibri" w:eastAsia="Calibri"/>
          <w:b/>
          <w:color w:val="1F2933"/>
        </w:rPr>
        <w:t>Offline and low-bandwidth first:</w:t>
      </w:r>
      <w:r>
        <w:rPr>
          <w:rFonts w:ascii="Calibri" w:hAnsi="Calibri" w:eastAsia="Calibri"/>
          <w:b w:val="0"/>
          <w:color w:val="1F2933"/>
        </w:rPr>
        <w:t xml:space="preserve"> synchronisation is resumable, idempotent and tolerant of long gaps.</w:t>
      </w:r>
    </w:p>
    <w:p>
      <w:pPr>
        <w:jc w:val="left"/>
        <w:numPr>
          <w:ilvl w:val="0"/>
          <w:numId w:val="10"/>
        </w:numPr>
      </w:pPr>
      <w:r>
        <w:rPr>
          <w:rFonts w:ascii="Calibri" w:hAnsi="Calibri" w:eastAsia="Calibri"/>
          <w:b/>
          <w:color w:val="1F2933"/>
        </w:rPr>
        <w:t>Measure quality and representativeness:</w:t>
      </w:r>
      <w:r>
        <w:rPr>
          <w:rFonts w:ascii="Calibri" w:hAnsi="Calibri" w:eastAsia="Calibri"/>
          <w:b w:val="0"/>
          <w:color w:val="1F2933"/>
        </w:rPr>
        <w:t xml:space="preserve"> no national rate without denominator, provenance, coverage, quality and uncertainty.</w:t>
      </w:r>
    </w:p>
    <w:p>
      <w:pPr>
        <w:jc w:val="left"/>
        <w:numPr>
          <w:ilvl w:val="0"/>
          <w:numId w:val="10"/>
        </w:numPr>
      </w:pPr>
      <w:r>
        <w:rPr>
          <w:rFonts w:ascii="Calibri" w:hAnsi="Calibri" w:eastAsia="Calibri"/>
          <w:b/>
          <w:color w:val="1F2933"/>
        </w:rPr>
        <w:t>Open architecture:</w:t>
      </w:r>
      <w:r>
        <w:rPr>
          <w:rFonts w:ascii="Calibri" w:hAnsi="Calibri" w:eastAsia="Calibri"/>
          <w:b w:val="0"/>
          <w:color w:val="1F2933"/>
        </w:rPr>
        <w:t xml:space="preserve"> documented APIs, open standards, portable data, modular procurement and no vendor lock-in.</w:t>
      </w:r>
    </w:p>
    <w:p>
      <w:pPr>
        <w:jc w:val="left"/>
        <w:numPr>
          <w:ilvl w:val="0"/>
          <w:numId w:val="10"/>
        </w:numPr>
      </w:pPr>
      <w:r>
        <w:rPr>
          <w:rFonts w:ascii="Calibri" w:hAnsi="Calibri" w:eastAsia="Calibri"/>
          <w:b/>
          <w:color w:val="1F2933"/>
        </w:rPr>
        <w:t>Human accountability for algorithms:</w:t>
      </w:r>
      <w:r>
        <w:rPr>
          <w:rFonts w:ascii="Calibri" w:hAnsi="Calibri" w:eastAsia="Calibri"/>
          <w:b w:val="0"/>
          <w:color w:val="1F2933"/>
        </w:rPr>
        <w:t xml:space="preserve"> models rank or forecast risk; authorised officers own decisions.</w:t>
      </w:r>
    </w:p>
    <w:p>
      <w:pPr>
        <w:jc w:val="left"/>
        <w:numPr>
          <w:ilvl w:val="0"/>
          <w:numId w:val="10"/>
        </w:numPr>
      </w:pPr>
      <w:r>
        <w:rPr>
          <w:rFonts w:ascii="Calibri" w:hAnsi="Calibri" w:eastAsia="Calibri"/>
          <w:b/>
          <w:color w:val="1F2933"/>
        </w:rPr>
        <w:t>Privacy, security and audit by design:</w:t>
      </w:r>
      <w:r>
        <w:rPr>
          <w:rFonts w:ascii="Calibri" w:hAnsi="Calibri" w:eastAsia="Calibri"/>
          <w:b w:val="0"/>
          <w:color w:val="1F2933"/>
        </w:rPr>
        <w:t xml:space="preserve"> controls are product features and procurement requirements, not post-launch additions.</w:t>
      </w:r>
    </w:p>
    <w:p>
      <w:pPr>
        <w:pStyle w:val="Heading1"/>
      </w:pPr>
      <w:r>
        <w:rPr>
          <w:rFonts w:ascii="Calibri" w:hAnsi="Calibri" w:eastAsia="Calibri"/>
          <w:b/>
          <w:color w:val="2E74B5"/>
          <w:sz w:val="32"/>
        </w:rPr>
        <w:t>4. Target operating model</w:t>
      </w:r>
    </w:p>
    <w:p>
      <w:r>
        <w:rPr>
          <w:rFonts w:ascii="Calibri" w:hAnsi="Calibri" w:eastAsia="Calibri"/>
          <w:b w:val="0"/>
          <w:color w:val="1F2933"/>
        </w:rPr>
        <w:t>The digital ecosystem must mirror the National One Health Mission's multi-tier governance rather than invent a parallel chain. The model below aligns national steering, sector ownership, State/UT units, district committees and facility teams. [R2–R4]</w:t>
      </w:r>
    </w:p>
    <w:p>
      <w:pPr>
        <w:pStyle w:val="Heading2"/>
      </w:pPr>
      <w:r>
        <w:rPr>
          <w:rFonts w:ascii="Calibri" w:hAnsi="Calibri" w:eastAsia="Calibri"/>
          <w:b/>
          <w:color w:val="2E74B5"/>
          <w:sz w:val="26"/>
        </w:rPr>
        <w:t>4.1 National governance</w:t>
      </w:r>
    </w:p>
    <w:tbl>
      <w:tblPr>
        <w:tblW w:type="dxa" w:w="9360"/>
        <w:jc w:val="left"/>
        <w:tblLayout w:type="fixed"/>
        <w:tblLook w:firstColumn="1" w:firstRow="1" w:lastColumn="0" w:lastRow="0" w:noHBand="0" w:noVBand="1" w:val="04A0"/>
        <w:tblInd w:w="120" w:type="dxa"/>
        <w:tblBorders>
          <w:top w:val="single" w:sz="6" w:space="0" w:color="D9E1E8"/>
          <w:left w:val="single" w:sz="6" w:space="0" w:color="D9E1E8"/>
          <w:bottom w:val="single" w:sz="6" w:space="0" w:color="D9E1E8"/>
          <w:right w:val="single" w:sz="6" w:space="0" w:color="D9E1E8"/>
          <w:insideH w:val="single" w:sz="6" w:space="0" w:color="D9E1E8"/>
          <w:insideV w:val="single" w:sz="6" w:space="0" w:color="D9E1E8"/>
        </w:tblBorders>
      </w:tblPr>
      <w:tblGrid>
        <w:gridCol w:w="1800"/>
        <w:gridCol w:w="3500"/>
        <w:gridCol w:w="4060"/>
      </w:tblGrid>
      <w:tr>
        <w:trPr>
          <w:tblHeader w:val="true"/>
          <w:cantSplit w:val="true"/>
        </w:trPr>
        <w:tc>
          <w:tcPr>
            <w:tcW w:type="dxa" w:w="1800"/>
            <w:tcMar>
              <w:top w:w="90" w:type="dxa"/>
              <w:start w:w="120" w:type="dxa"/>
              <w:bottom w:w="90" w:type="dxa"/>
              <w:end w:w="120" w:type="dxa"/>
            </w:tcMar>
            <w:vAlign w:val="center"/>
            <w:shd w:fill="17365D"/>
          </w:tcPr>
          <w:p>
            <w:pPr>
              <w:pStyle w:val="TableText"/>
              <w:jc w:val="left"/>
            </w:pPr>
            <w:r>
              <w:rPr>
                <w:rFonts w:ascii="Calibri" w:hAnsi="Calibri" w:eastAsia="Calibri"/>
                <w:b/>
                <w:color w:val="FFFFFF"/>
                <w:sz w:val="18"/>
              </w:rPr>
              <w:t>Body</w:t>
            </w:r>
          </w:p>
        </w:tc>
        <w:tc>
          <w:tcPr>
            <w:tcW w:type="dxa" w:w="3500"/>
            <w:tcMar>
              <w:top w:w="90" w:type="dxa"/>
              <w:start w:w="120" w:type="dxa"/>
              <w:bottom w:w="90" w:type="dxa"/>
              <w:end w:w="120" w:type="dxa"/>
            </w:tcMar>
            <w:vAlign w:val="center"/>
            <w:shd w:fill="17365D"/>
          </w:tcPr>
          <w:p>
            <w:pPr>
              <w:pStyle w:val="TableText"/>
              <w:jc w:val="left"/>
            </w:pPr>
            <w:r>
              <w:rPr>
                <w:rFonts w:ascii="Calibri" w:hAnsi="Calibri" w:eastAsia="Calibri"/>
                <w:b/>
                <w:color w:val="FFFFFF"/>
                <w:sz w:val="18"/>
              </w:rPr>
              <w:t>Proposed AMR ecosystem responsibility</w:t>
            </w:r>
          </w:p>
        </w:tc>
        <w:tc>
          <w:tcPr>
            <w:tcW w:type="dxa" w:w="4060"/>
            <w:tcMar>
              <w:top w:w="90" w:type="dxa"/>
              <w:start w:w="120" w:type="dxa"/>
              <w:bottom w:w="90" w:type="dxa"/>
              <w:end w:w="120" w:type="dxa"/>
            </w:tcMar>
            <w:vAlign w:val="center"/>
            <w:shd w:fill="17365D"/>
          </w:tcPr>
          <w:p>
            <w:pPr>
              <w:pStyle w:val="TableText"/>
              <w:jc w:val="left"/>
            </w:pPr>
            <w:r>
              <w:rPr>
                <w:rFonts w:ascii="Calibri" w:hAnsi="Calibri" w:eastAsia="Calibri"/>
                <w:b/>
                <w:color w:val="FFFFFF"/>
                <w:sz w:val="18"/>
              </w:rPr>
              <w:t>Digital product support</w:t>
            </w:r>
          </w:p>
        </w:tc>
      </w:tr>
      <w:tr>
        <w:trPr>
          <w:cantSplit w:val="true"/>
        </w:trPr>
        <w:tc>
          <w:tcPr>
            <w:tcW w:type="dxa" w:w="1800"/>
            <w:tcMar>
              <w:top w:w="90" w:type="dxa"/>
              <w:start w:w="120" w:type="dxa"/>
              <w:bottom w:w="90" w:type="dxa"/>
              <w:end w:w="120" w:type="dxa"/>
            </w:tcMar>
            <w:vAlign w:val="center"/>
          </w:tcPr>
          <w:p>
            <w:pPr>
              <w:pStyle w:val="TableText"/>
              <w:jc w:val="left"/>
            </w:pPr>
            <w:r>
              <w:rPr>
                <w:rFonts w:ascii="Calibri" w:hAnsi="Calibri" w:eastAsia="Calibri"/>
                <w:b w:val="0"/>
                <w:color w:val="1F2933"/>
                <w:sz w:val="18"/>
              </w:rPr>
              <w:t>NAP-AMR high-level review under NITI Aayog</w:t>
            </w:r>
          </w:p>
        </w:tc>
        <w:tc>
          <w:tcPr>
            <w:tcW w:type="dxa" w:w="3500"/>
            <w:tcMar>
              <w:top w:w="90" w:type="dxa"/>
              <w:start w:w="120" w:type="dxa"/>
              <w:bottom w:w="90" w:type="dxa"/>
              <w:end w:w="120" w:type="dxa"/>
            </w:tcMar>
            <w:vAlign w:val="center"/>
          </w:tcPr>
          <w:p>
            <w:pPr>
              <w:pStyle w:val="TableText"/>
              <w:jc w:val="left"/>
            </w:pPr>
            <w:r>
              <w:rPr>
                <w:rFonts w:ascii="Calibri" w:hAnsi="Calibri" w:eastAsia="Calibri"/>
                <w:b w:val="0"/>
                <w:color w:val="1F2933"/>
                <w:sz w:val="18"/>
              </w:rPr>
              <w:t>Approve outcomes, resolve cross-ministry barriers, review biannual progress</w:t>
            </w:r>
          </w:p>
        </w:tc>
        <w:tc>
          <w:tcPr>
            <w:tcW w:type="dxa" w:w="4060"/>
            <w:tcMar>
              <w:top w:w="90" w:type="dxa"/>
              <w:start w:w="120" w:type="dxa"/>
              <w:bottom w:w="90" w:type="dxa"/>
              <w:end w:w="120" w:type="dxa"/>
            </w:tcMar>
            <w:vAlign w:val="center"/>
          </w:tcPr>
          <w:p>
            <w:pPr>
              <w:pStyle w:val="TableText"/>
              <w:jc w:val="left"/>
            </w:pPr>
            <w:r>
              <w:rPr>
                <w:rFonts w:ascii="Calibri" w:hAnsi="Calibri" w:eastAsia="Calibri"/>
                <w:b w:val="0"/>
                <w:color w:val="1F2933"/>
                <w:sz w:val="18"/>
              </w:rPr>
              <w:t>National programme scorecard and decision docket</w:t>
            </w:r>
          </w:p>
        </w:tc>
      </w:tr>
      <w:tr>
        <w:trPr>
          <w:cantSplit w:val="true"/>
        </w:trPr>
        <w:tc>
          <w:tcPr>
            <w:tcW w:type="dxa" w:w="1800"/>
            <w:tcMar>
              <w:top w:w="90" w:type="dxa"/>
              <w:start w:w="120" w:type="dxa"/>
              <w:bottom w:w="90" w:type="dxa"/>
              <w:end w:w="120" w:type="dxa"/>
            </w:tcMar>
            <w:vAlign w:val="center"/>
            <w:shd w:fill="F4F6F9"/>
          </w:tcPr>
          <w:p>
            <w:pPr>
              <w:pStyle w:val="TableText"/>
              <w:jc w:val="left"/>
            </w:pPr>
            <w:r>
              <w:rPr>
                <w:rFonts w:ascii="Calibri" w:hAnsi="Calibri" w:eastAsia="Calibri"/>
                <w:b w:val="0"/>
                <w:color w:val="1F2933"/>
                <w:sz w:val="18"/>
              </w:rPr>
              <w:t>Office of PSA research coordination</w:t>
            </w:r>
          </w:p>
        </w:tc>
        <w:tc>
          <w:tcPr>
            <w:tcW w:type="dxa" w:w="3500"/>
            <w:tcMar>
              <w:top w:w="90" w:type="dxa"/>
              <w:start w:w="120" w:type="dxa"/>
              <w:bottom w:w="90" w:type="dxa"/>
              <w:end w:w="120" w:type="dxa"/>
            </w:tcMar>
            <w:vAlign w:val="center"/>
            <w:shd w:fill="F4F6F9"/>
          </w:tcPr>
          <w:p>
            <w:pPr>
              <w:pStyle w:val="TableText"/>
              <w:jc w:val="left"/>
            </w:pPr>
            <w:r>
              <w:rPr>
                <w:rFonts w:ascii="Calibri" w:hAnsi="Calibri" w:eastAsia="Calibri"/>
                <w:b w:val="0"/>
                <w:color w:val="1F2933"/>
                <w:sz w:val="18"/>
              </w:rPr>
              <w:t>Coordinate cross-ministry research, innovation and non-duplication</w:t>
            </w:r>
          </w:p>
        </w:tc>
        <w:tc>
          <w:tcPr>
            <w:tcW w:type="dxa" w:w="4060"/>
            <w:tcMar>
              <w:top w:w="90" w:type="dxa"/>
              <w:start w:w="120" w:type="dxa"/>
              <w:bottom w:w="90" w:type="dxa"/>
              <w:end w:w="120" w:type="dxa"/>
            </w:tcMar>
            <w:vAlign w:val="center"/>
            <w:shd w:fill="F4F6F9"/>
          </w:tcPr>
          <w:p>
            <w:pPr>
              <w:pStyle w:val="TableText"/>
              <w:jc w:val="left"/>
            </w:pPr>
            <w:r>
              <w:rPr>
                <w:rFonts w:ascii="Calibri" w:hAnsi="Calibri" w:eastAsia="Calibri"/>
                <w:b w:val="0"/>
                <w:color w:val="1F2933"/>
                <w:sz w:val="18"/>
              </w:rPr>
              <w:t>Research portfolio, data-access review and evidence registry</w:t>
            </w:r>
          </w:p>
        </w:tc>
      </w:tr>
      <w:tr>
        <w:trPr>
          <w:cantSplit w:val="true"/>
        </w:trPr>
        <w:tc>
          <w:tcPr>
            <w:tcW w:type="dxa" w:w="1800"/>
            <w:tcMar>
              <w:top w:w="90" w:type="dxa"/>
              <w:start w:w="120" w:type="dxa"/>
              <w:bottom w:w="90" w:type="dxa"/>
              <w:end w:w="120" w:type="dxa"/>
            </w:tcMar>
            <w:vAlign w:val="center"/>
          </w:tcPr>
          <w:p>
            <w:pPr>
              <w:pStyle w:val="TableText"/>
              <w:jc w:val="left"/>
            </w:pPr>
            <w:r>
              <w:rPr>
                <w:rFonts w:ascii="Calibri" w:hAnsi="Calibri" w:eastAsia="Calibri"/>
                <w:b w:val="0"/>
                <w:color w:val="1F2933"/>
                <w:sz w:val="18"/>
              </w:rPr>
              <w:t>MoHFW/NCDC AMR coordination unit</w:t>
            </w:r>
          </w:p>
        </w:tc>
        <w:tc>
          <w:tcPr>
            <w:tcW w:type="dxa" w:w="3500"/>
            <w:tcMar>
              <w:top w:w="90" w:type="dxa"/>
              <w:start w:w="120" w:type="dxa"/>
              <w:bottom w:w="90" w:type="dxa"/>
              <w:end w:w="120" w:type="dxa"/>
            </w:tcMar>
            <w:vAlign w:val="center"/>
          </w:tcPr>
          <w:p>
            <w:pPr>
              <w:pStyle w:val="TableText"/>
              <w:jc w:val="left"/>
            </w:pPr>
            <w:r>
              <w:rPr>
                <w:rFonts w:ascii="Calibri" w:hAnsi="Calibri" w:eastAsia="Calibri"/>
                <w:b w:val="0"/>
                <w:color w:val="1F2933"/>
                <w:sz w:val="18"/>
              </w:rPr>
              <w:t>Nodal programme management, human surveillance, GLASS, IPC/AMS coordination</w:t>
            </w:r>
          </w:p>
        </w:tc>
        <w:tc>
          <w:tcPr>
            <w:tcW w:type="dxa" w:w="4060"/>
            <w:tcMar>
              <w:top w:w="90" w:type="dxa"/>
              <w:start w:w="120" w:type="dxa"/>
              <w:bottom w:w="90" w:type="dxa"/>
              <w:end w:w="120" w:type="dxa"/>
            </w:tcMar>
            <w:vAlign w:val="center"/>
          </w:tcPr>
          <w:p>
            <w:pPr>
              <w:pStyle w:val="TableText"/>
              <w:jc w:val="left"/>
            </w:pPr>
            <w:r>
              <w:rPr>
                <w:rFonts w:ascii="Calibri" w:hAnsi="Calibri" w:eastAsia="Calibri"/>
                <w:b w:val="0"/>
                <w:color w:val="1F2933"/>
                <w:sz w:val="18"/>
              </w:rPr>
              <w:t>National operations console, standards registry and incident oversight</w:t>
            </w:r>
          </w:p>
        </w:tc>
      </w:tr>
      <w:tr>
        <w:trPr>
          <w:cantSplit w:val="true"/>
        </w:trPr>
        <w:tc>
          <w:tcPr>
            <w:tcW w:type="dxa" w:w="1800"/>
            <w:tcMar>
              <w:top w:w="90" w:type="dxa"/>
              <w:start w:w="120" w:type="dxa"/>
              <w:bottom w:w="90" w:type="dxa"/>
              <w:end w:w="120" w:type="dxa"/>
            </w:tcMar>
            <w:vAlign w:val="center"/>
            <w:shd w:fill="F4F6F9"/>
          </w:tcPr>
          <w:p>
            <w:pPr>
              <w:pStyle w:val="TableText"/>
              <w:jc w:val="left"/>
            </w:pPr>
            <w:r>
              <w:rPr>
                <w:rFonts w:ascii="Calibri" w:hAnsi="Calibri" w:eastAsia="Calibri"/>
                <w:b w:val="0"/>
                <w:color w:val="1F2933"/>
                <w:sz w:val="18"/>
              </w:rPr>
              <w:t>ICMR/AMRSN</w:t>
            </w:r>
          </w:p>
        </w:tc>
        <w:tc>
          <w:tcPr>
            <w:tcW w:type="dxa" w:w="3500"/>
            <w:tcMar>
              <w:top w:w="90" w:type="dxa"/>
              <w:start w:w="120" w:type="dxa"/>
              <w:bottom w:w="90" w:type="dxa"/>
              <w:end w:w="120" w:type="dxa"/>
            </w:tcMar>
            <w:vAlign w:val="center"/>
            <w:shd w:fill="F4F6F9"/>
          </w:tcPr>
          <w:p>
            <w:pPr>
              <w:pStyle w:val="TableText"/>
              <w:jc w:val="left"/>
            </w:pPr>
            <w:r>
              <w:rPr>
                <w:rFonts w:ascii="Calibri" w:hAnsi="Calibri" w:eastAsia="Calibri"/>
                <w:b w:val="0"/>
                <w:color w:val="1F2933"/>
                <w:sz w:val="18"/>
              </w:rPr>
              <w:t>Scientific methods, reference surveillance, quality and research</w:t>
            </w:r>
          </w:p>
        </w:tc>
        <w:tc>
          <w:tcPr>
            <w:tcW w:type="dxa" w:w="4060"/>
            <w:tcMar>
              <w:top w:w="90" w:type="dxa"/>
              <w:start w:w="120" w:type="dxa"/>
              <w:bottom w:w="90" w:type="dxa"/>
              <w:end w:w="120" w:type="dxa"/>
            </w:tcMar>
            <w:vAlign w:val="center"/>
            <w:shd w:fill="F4F6F9"/>
          </w:tcPr>
          <w:p>
            <w:pPr>
              <w:pStyle w:val="TableText"/>
              <w:jc w:val="left"/>
            </w:pPr>
            <w:r>
              <w:rPr>
                <w:rFonts w:ascii="Calibri" w:hAnsi="Calibri" w:eastAsia="Calibri"/>
                <w:b w:val="0"/>
                <w:color w:val="1F2933"/>
                <w:sz w:val="18"/>
              </w:rPr>
              <w:t>Reference analytics, methods, antibiogram and genomic linkage</w:t>
            </w:r>
          </w:p>
        </w:tc>
      </w:tr>
      <w:tr>
        <w:trPr>
          <w:cantSplit w:val="true"/>
        </w:trPr>
        <w:tc>
          <w:tcPr>
            <w:tcW w:type="dxa" w:w="1800"/>
            <w:tcMar>
              <w:top w:w="90" w:type="dxa"/>
              <w:start w:w="120" w:type="dxa"/>
              <w:bottom w:w="90" w:type="dxa"/>
              <w:end w:w="120" w:type="dxa"/>
            </w:tcMar>
            <w:vAlign w:val="center"/>
          </w:tcPr>
          <w:p>
            <w:pPr>
              <w:pStyle w:val="TableText"/>
              <w:jc w:val="left"/>
            </w:pPr>
            <w:r>
              <w:rPr>
                <w:rFonts w:ascii="Calibri" w:hAnsi="Calibri" w:eastAsia="Calibri"/>
                <w:b w:val="0"/>
                <w:color w:val="1F2933"/>
                <w:sz w:val="18"/>
              </w:rPr>
              <w:t>DAHD/DoF/ICAR</w:t>
            </w:r>
          </w:p>
        </w:tc>
        <w:tc>
          <w:tcPr>
            <w:tcW w:type="dxa" w:w="3500"/>
            <w:tcMar>
              <w:top w:w="90" w:type="dxa"/>
              <w:start w:w="120" w:type="dxa"/>
              <w:bottom w:w="90" w:type="dxa"/>
              <w:end w:w="120" w:type="dxa"/>
            </w:tcMar>
            <w:vAlign w:val="center"/>
          </w:tcPr>
          <w:p>
            <w:pPr>
              <w:pStyle w:val="TableText"/>
              <w:jc w:val="left"/>
            </w:pPr>
            <w:r>
              <w:rPr>
                <w:rFonts w:ascii="Calibri" w:hAnsi="Calibri" w:eastAsia="Calibri"/>
                <w:b w:val="0"/>
                <w:color w:val="1F2933"/>
                <w:sz w:val="18"/>
              </w:rPr>
              <w:t>Animal/fisheries AMR/AMU, labs, biosecurity and stewardship</w:t>
            </w:r>
          </w:p>
        </w:tc>
        <w:tc>
          <w:tcPr>
            <w:tcW w:type="dxa" w:w="4060"/>
            <w:tcMar>
              <w:top w:w="90" w:type="dxa"/>
              <w:start w:w="120" w:type="dxa"/>
              <w:bottom w:w="90" w:type="dxa"/>
              <w:end w:w="120" w:type="dxa"/>
            </w:tcMar>
            <w:vAlign w:val="center"/>
          </w:tcPr>
          <w:p>
            <w:pPr>
              <w:pStyle w:val="TableText"/>
              <w:jc w:val="left"/>
            </w:pPr>
            <w:r>
              <w:rPr>
                <w:rFonts w:ascii="Calibri" w:hAnsi="Calibri" w:eastAsia="Calibri"/>
                <w:b w:val="0"/>
                <w:color w:val="1F2933"/>
                <w:sz w:val="18"/>
              </w:rPr>
              <w:t>Veterinary/fisheries data products and ANIMUSE-ready exports</w:t>
            </w:r>
          </w:p>
        </w:tc>
      </w:tr>
      <w:tr>
        <w:trPr>
          <w:cantSplit w:val="true"/>
        </w:trPr>
        <w:tc>
          <w:tcPr>
            <w:tcW w:type="dxa" w:w="1800"/>
            <w:tcMar>
              <w:top w:w="90" w:type="dxa"/>
              <w:start w:w="120" w:type="dxa"/>
              <w:bottom w:w="90" w:type="dxa"/>
              <w:end w:w="120" w:type="dxa"/>
            </w:tcMar>
            <w:vAlign w:val="center"/>
            <w:shd w:fill="F4F6F9"/>
          </w:tcPr>
          <w:p>
            <w:pPr>
              <w:pStyle w:val="TableText"/>
              <w:jc w:val="left"/>
            </w:pPr>
            <w:r>
              <w:rPr>
                <w:rFonts w:ascii="Calibri" w:hAnsi="Calibri" w:eastAsia="Calibri"/>
                <w:b w:val="0"/>
                <w:color w:val="1F2933"/>
                <w:sz w:val="18"/>
              </w:rPr>
              <w:t>FSSAI</w:t>
            </w:r>
          </w:p>
        </w:tc>
        <w:tc>
          <w:tcPr>
            <w:tcW w:type="dxa" w:w="3500"/>
            <w:tcMar>
              <w:top w:w="90" w:type="dxa"/>
              <w:start w:w="120" w:type="dxa"/>
              <w:bottom w:w="90" w:type="dxa"/>
              <w:end w:w="120" w:type="dxa"/>
            </w:tcMar>
            <w:vAlign w:val="center"/>
            <w:shd w:fill="F4F6F9"/>
          </w:tcPr>
          <w:p>
            <w:pPr>
              <w:pStyle w:val="TableText"/>
              <w:jc w:val="left"/>
            </w:pPr>
            <w:r>
              <w:rPr>
                <w:rFonts w:ascii="Calibri" w:hAnsi="Calibri" w:eastAsia="Calibri"/>
                <w:b w:val="0"/>
                <w:color w:val="1F2933"/>
                <w:sz w:val="18"/>
              </w:rPr>
              <w:t>Food AMR and residue surveillance</w:t>
            </w:r>
          </w:p>
        </w:tc>
        <w:tc>
          <w:tcPr>
            <w:tcW w:type="dxa" w:w="4060"/>
            <w:tcMar>
              <w:top w:w="90" w:type="dxa"/>
              <w:start w:w="120" w:type="dxa"/>
              <w:bottom w:w="90" w:type="dxa"/>
              <w:end w:w="120" w:type="dxa"/>
            </w:tcMar>
            <w:vAlign w:val="center"/>
            <w:shd w:fill="F4F6F9"/>
          </w:tcPr>
          <w:p>
            <w:pPr>
              <w:pStyle w:val="TableText"/>
              <w:jc w:val="left"/>
            </w:pPr>
            <w:r>
              <w:rPr>
                <w:rFonts w:ascii="Calibri" w:hAnsi="Calibri" w:eastAsia="Calibri"/>
                <w:b w:val="0"/>
                <w:color w:val="1F2933"/>
                <w:sz w:val="18"/>
              </w:rPr>
              <w:t>Commodity sampling, lab and traceability data product</w:t>
            </w:r>
          </w:p>
        </w:tc>
      </w:tr>
      <w:tr>
        <w:trPr>
          <w:cantSplit w:val="true"/>
        </w:trPr>
        <w:tc>
          <w:tcPr>
            <w:tcW w:type="dxa" w:w="1800"/>
            <w:tcMar>
              <w:top w:w="90" w:type="dxa"/>
              <w:start w:w="120" w:type="dxa"/>
              <w:bottom w:w="90" w:type="dxa"/>
              <w:end w:w="120" w:type="dxa"/>
            </w:tcMar>
            <w:vAlign w:val="center"/>
          </w:tcPr>
          <w:p>
            <w:pPr>
              <w:pStyle w:val="TableText"/>
              <w:jc w:val="left"/>
            </w:pPr>
            <w:r>
              <w:rPr>
                <w:rFonts w:ascii="Calibri" w:hAnsi="Calibri" w:eastAsia="Calibri"/>
                <w:b w:val="0"/>
                <w:color w:val="1F2933"/>
                <w:sz w:val="18"/>
              </w:rPr>
              <w:t>MoEFCC/CPCB/SPCBs</w:t>
            </w:r>
          </w:p>
        </w:tc>
        <w:tc>
          <w:tcPr>
            <w:tcW w:type="dxa" w:w="3500"/>
            <w:tcMar>
              <w:top w:w="90" w:type="dxa"/>
              <w:start w:w="120" w:type="dxa"/>
              <w:bottom w:w="90" w:type="dxa"/>
              <w:end w:w="120" w:type="dxa"/>
            </w:tcMar>
            <w:vAlign w:val="center"/>
          </w:tcPr>
          <w:p>
            <w:pPr>
              <w:pStyle w:val="TableText"/>
              <w:jc w:val="left"/>
            </w:pPr>
            <w:r>
              <w:rPr>
                <w:rFonts w:ascii="Calibri" w:hAnsi="Calibri" w:eastAsia="Calibri"/>
                <w:b w:val="0"/>
                <w:color w:val="1F2933"/>
                <w:sz w:val="18"/>
              </w:rPr>
              <w:t>Environmental surveillance and effluent risk</w:t>
            </w:r>
          </w:p>
        </w:tc>
        <w:tc>
          <w:tcPr>
            <w:tcW w:type="dxa" w:w="4060"/>
            <w:tcMar>
              <w:top w:w="90" w:type="dxa"/>
              <w:start w:w="120" w:type="dxa"/>
              <w:bottom w:w="90" w:type="dxa"/>
              <w:end w:w="120" w:type="dxa"/>
            </w:tcMar>
            <w:vAlign w:val="center"/>
          </w:tcPr>
          <w:p>
            <w:pPr>
              <w:pStyle w:val="TableText"/>
              <w:jc w:val="left"/>
            </w:pPr>
            <w:r>
              <w:rPr>
                <w:rFonts w:ascii="Calibri" w:hAnsi="Calibri" w:eastAsia="Calibri"/>
                <w:b w:val="0"/>
                <w:color w:val="1F2933"/>
                <w:sz w:val="18"/>
              </w:rPr>
              <w:t>Environmental sampling and facility-discharge data product</w:t>
            </w:r>
          </w:p>
        </w:tc>
      </w:tr>
      <w:tr>
        <w:trPr>
          <w:cantSplit w:val="true"/>
        </w:trPr>
        <w:tc>
          <w:tcPr>
            <w:tcW w:type="dxa" w:w="1800"/>
            <w:tcMar>
              <w:top w:w="90" w:type="dxa"/>
              <w:start w:w="120" w:type="dxa"/>
              <w:bottom w:w="90" w:type="dxa"/>
              <w:end w:w="120" w:type="dxa"/>
            </w:tcMar>
            <w:vAlign w:val="center"/>
            <w:shd w:fill="F4F6F9"/>
          </w:tcPr>
          <w:p>
            <w:pPr>
              <w:pStyle w:val="TableText"/>
              <w:jc w:val="left"/>
            </w:pPr>
            <w:r>
              <w:rPr>
                <w:rFonts w:ascii="Calibri" w:hAnsi="Calibri" w:eastAsia="Calibri"/>
                <w:b w:val="0"/>
                <w:color w:val="1F2933"/>
                <w:sz w:val="18"/>
              </w:rPr>
              <w:t>CDSCO/DoP</w:t>
            </w:r>
          </w:p>
        </w:tc>
        <w:tc>
          <w:tcPr>
            <w:tcW w:type="dxa" w:w="3500"/>
            <w:tcMar>
              <w:top w:w="90" w:type="dxa"/>
              <w:start w:w="120" w:type="dxa"/>
              <w:bottom w:w="90" w:type="dxa"/>
              <w:end w:w="120" w:type="dxa"/>
            </w:tcMar>
            <w:vAlign w:val="center"/>
            <w:shd w:fill="F4F6F9"/>
          </w:tcPr>
          <w:p>
            <w:pPr>
              <w:pStyle w:val="TableText"/>
              <w:jc w:val="left"/>
            </w:pPr>
            <w:r>
              <w:rPr>
                <w:rFonts w:ascii="Calibri" w:hAnsi="Calibri" w:eastAsia="Calibri"/>
                <w:b w:val="0"/>
                <w:color w:val="1F2933"/>
                <w:sz w:val="18"/>
              </w:rPr>
              <w:t>Quality, distribution, sales and regulatory indicators</w:t>
            </w:r>
          </w:p>
        </w:tc>
        <w:tc>
          <w:tcPr>
            <w:tcW w:type="dxa" w:w="4060"/>
            <w:tcMar>
              <w:top w:w="90" w:type="dxa"/>
              <w:start w:w="120" w:type="dxa"/>
              <w:bottom w:w="90" w:type="dxa"/>
              <w:end w:w="120" w:type="dxa"/>
            </w:tcMar>
            <w:vAlign w:val="center"/>
            <w:shd w:fill="F4F6F9"/>
          </w:tcPr>
          <w:p>
            <w:pPr>
              <w:pStyle w:val="TableText"/>
              <w:jc w:val="left"/>
            </w:pPr>
            <w:r>
              <w:rPr>
                <w:rFonts w:ascii="Calibri" w:hAnsi="Calibri" w:eastAsia="Calibri"/>
                <w:b w:val="0"/>
                <w:color w:val="1F2933"/>
                <w:sz w:val="18"/>
              </w:rPr>
              <w:t>Antimicrobial supply/quality data product</w:t>
            </w:r>
          </w:p>
        </w:tc>
      </w:tr>
      <w:tr>
        <w:trPr>
          <w:cantSplit w:val="true"/>
        </w:trPr>
        <w:tc>
          <w:tcPr>
            <w:tcW w:type="dxa" w:w="1800"/>
            <w:tcMar>
              <w:top w:w="90" w:type="dxa"/>
              <w:start w:w="120" w:type="dxa"/>
              <w:bottom w:w="90" w:type="dxa"/>
              <w:end w:w="120" w:type="dxa"/>
            </w:tcMar>
            <w:vAlign w:val="center"/>
          </w:tcPr>
          <w:p>
            <w:pPr>
              <w:pStyle w:val="TableText"/>
              <w:jc w:val="left"/>
            </w:pPr>
            <w:r>
              <w:rPr>
                <w:rFonts w:ascii="Calibri" w:hAnsi="Calibri" w:eastAsia="Calibri"/>
                <w:b w:val="0"/>
                <w:color w:val="1F2933"/>
                <w:sz w:val="18"/>
              </w:rPr>
              <w:t>NHA/ABDM</w:t>
            </w:r>
          </w:p>
        </w:tc>
        <w:tc>
          <w:tcPr>
            <w:tcW w:type="dxa" w:w="3500"/>
            <w:tcMar>
              <w:top w:w="90" w:type="dxa"/>
              <w:start w:w="120" w:type="dxa"/>
              <w:bottom w:w="90" w:type="dxa"/>
              <w:end w:w="120" w:type="dxa"/>
            </w:tcMar>
            <w:vAlign w:val="center"/>
          </w:tcPr>
          <w:p>
            <w:pPr>
              <w:pStyle w:val="TableText"/>
              <w:jc w:val="left"/>
            </w:pPr>
            <w:r>
              <w:rPr>
                <w:rFonts w:ascii="Calibri" w:hAnsi="Calibri" w:eastAsia="Calibri"/>
                <w:b w:val="0"/>
                <w:color w:val="1F2933"/>
                <w:sz w:val="18"/>
              </w:rPr>
              <w:t>Human-health interoperability and registries</w:t>
            </w:r>
          </w:p>
        </w:tc>
        <w:tc>
          <w:tcPr>
            <w:tcW w:type="dxa" w:w="4060"/>
            <w:tcMar>
              <w:top w:w="90" w:type="dxa"/>
              <w:start w:w="120" w:type="dxa"/>
              <w:bottom w:w="90" w:type="dxa"/>
              <w:end w:w="120" w:type="dxa"/>
            </w:tcMar>
            <w:vAlign w:val="center"/>
          </w:tcPr>
          <w:p>
            <w:pPr>
              <w:pStyle w:val="TableText"/>
              <w:jc w:val="left"/>
            </w:pPr>
            <w:r>
              <w:rPr>
                <w:rFonts w:ascii="Calibri" w:hAnsi="Calibri" w:eastAsia="Calibri"/>
                <w:b w:val="0"/>
                <w:color w:val="1F2933"/>
                <w:sz w:val="18"/>
              </w:rPr>
              <w:t>HFR/HPR alignment, health exchange patterns and sandbox validation</w:t>
            </w:r>
          </w:p>
        </w:tc>
      </w:tr>
      <w:tr>
        <w:trPr>
          <w:cantSplit w:val="true"/>
        </w:trPr>
        <w:tc>
          <w:tcPr>
            <w:tcW w:type="dxa" w:w="1800"/>
            <w:tcMar>
              <w:top w:w="90" w:type="dxa"/>
              <w:start w:w="120" w:type="dxa"/>
              <w:bottom w:w="90" w:type="dxa"/>
              <w:end w:w="120" w:type="dxa"/>
            </w:tcMar>
            <w:vAlign w:val="center"/>
            <w:shd w:fill="F4F6F9"/>
          </w:tcPr>
          <w:p>
            <w:pPr>
              <w:pStyle w:val="TableText"/>
              <w:jc w:val="left"/>
            </w:pPr>
            <w:r>
              <w:rPr>
                <w:rFonts w:ascii="Calibri" w:hAnsi="Calibri" w:eastAsia="Calibri"/>
                <w:b w:val="0"/>
                <w:color w:val="1F2933"/>
                <w:sz w:val="18"/>
              </w:rPr>
              <w:t>National Institute for One Health</w:t>
            </w:r>
          </w:p>
        </w:tc>
        <w:tc>
          <w:tcPr>
            <w:tcW w:type="dxa" w:w="3500"/>
            <w:tcMar>
              <w:top w:w="90" w:type="dxa"/>
              <w:start w:w="120" w:type="dxa"/>
              <w:bottom w:w="90" w:type="dxa"/>
              <w:end w:w="120" w:type="dxa"/>
            </w:tcMar>
            <w:vAlign w:val="center"/>
            <w:shd w:fill="F4F6F9"/>
          </w:tcPr>
          <w:p>
            <w:pPr>
              <w:pStyle w:val="TableText"/>
              <w:jc w:val="left"/>
            </w:pPr>
            <w:r>
              <w:rPr>
                <w:rFonts w:ascii="Calibri" w:hAnsi="Calibri" w:eastAsia="Calibri"/>
                <w:b w:val="0"/>
                <w:color w:val="1F2933"/>
                <w:sz w:val="18"/>
              </w:rPr>
              <w:t>Operational integration, capacity building and joint risk assessment</w:t>
            </w:r>
          </w:p>
        </w:tc>
        <w:tc>
          <w:tcPr>
            <w:tcW w:type="dxa" w:w="4060"/>
            <w:tcMar>
              <w:top w:w="90" w:type="dxa"/>
              <w:start w:w="120" w:type="dxa"/>
              <w:bottom w:w="90" w:type="dxa"/>
              <w:end w:w="120" w:type="dxa"/>
            </w:tcMar>
            <w:vAlign w:val="center"/>
            <w:shd w:fill="F4F6F9"/>
          </w:tcPr>
          <w:p>
            <w:pPr>
              <w:pStyle w:val="TableText"/>
              <w:jc w:val="left"/>
            </w:pPr>
            <w:r>
              <w:rPr>
                <w:rFonts w:ascii="Calibri" w:hAnsi="Calibri" w:eastAsia="Calibri"/>
                <w:b w:val="0"/>
                <w:color w:val="1F2933"/>
                <w:sz w:val="18"/>
              </w:rPr>
              <w:t>Knowledge hub, training registry and joint assessment workbench</w:t>
            </w:r>
          </w:p>
        </w:tc>
      </w:tr>
    </w:tbl>
    <w:p>
      <w:pPr>
        <w:spacing w:after="40"/>
      </w:pPr>
    </w:p>
    <w:p>
      <w:pPr>
        <w:pStyle w:val="Heading2"/>
      </w:pPr>
      <w:r>
        <w:rPr>
          <w:rFonts w:ascii="Calibri" w:hAnsi="Calibri" w:eastAsia="Calibri"/>
          <w:b/>
          <w:color w:val="2E74B5"/>
          <w:sz w:val="26"/>
        </w:rPr>
        <w:t>4.2 National AMR Digital Mission Unit</w:t>
      </w:r>
    </w:p>
    <w:p>
      <w:r>
        <w:rPr>
          <w:rFonts w:ascii="Calibri" w:hAnsi="Calibri" w:eastAsia="Calibri"/>
          <w:b w:val="0"/>
          <w:color w:val="1F2933"/>
        </w:rPr>
        <w:t>Create a dedicated multidisciplinary mission unit rather than assigning national delivery to a generic IT vendor. Minimum functions:</w:t>
      </w:r>
    </w:p>
    <w:p>
      <w:pPr>
        <w:jc w:val="left"/>
        <w:numPr>
          <w:ilvl w:val="0"/>
          <w:numId w:val="10"/>
        </w:numPr>
      </w:pPr>
      <w:r>
        <w:rPr>
          <w:rFonts w:ascii="Calibri" w:hAnsi="Calibri" w:eastAsia="Calibri"/>
          <w:b w:val="0"/>
          <w:color w:val="1F2933"/>
        </w:rPr>
        <w:t>Product management and service design.</w:t>
      </w:r>
    </w:p>
    <w:p>
      <w:pPr>
        <w:jc w:val="left"/>
        <w:numPr>
          <w:ilvl w:val="0"/>
          <w:numId w:val="10"/>
        </w:numPr>
      </w:pPr>
      <w:r>
        <w:rPr>
          <w:rFonts w:ascii="Calibri" w:hAnsi="Calibri" w:eastAsia="Calibri"/>
          <w:b w:val="0"/>
          <w:color w:val="1F2933"/>
        </w:rPr>
        <w:t>AMR epidemiology and biostatistics.</w:t>
      </w:r>
    </w:p>
    <w:p>
      <w:pPr>
        <w:jc w:val="left"/>
        <w:numPr>
          <w:ilvl w:val="0"/>
          <w:numId w:val="10"/>
        </w:numPr>
      </w:pPr>
      <w:r>
        <w:rPr>
          <w:rFonts w:ascii="Calibri" w:hAnsi="Calibri" w:eastAsia="Calibri"/>
          <w:b w:val="0"/>
          <w:color w:val="1F2933"/>
        </w:rPr>
        <w:t>Clinical microbiology and laboratory quality.</w:t>
      </w:r>
    </w:p>
    <w:p>
      <w:pPr>
        <w:jc w:val="left"/>
        <w:numPr>
          <w:ilvl w:val="0"/>
          <w:numId w:val="10"/>
        </w:numPr>
      </w:pPr>
      <w:r>
        <w:rPr>
          <w:rFonts w:ascii="Calibri" w:hAnsi="Calibri" w:eastAsia="Calibri"/>
          <w:b w:val="0"/>
          <w:color w:val="1F2933"/>
        </w:rPr>
        <w:t>Antimicrobial stewardship and IPC.</w:t>
      </w:r>
    </w:p>
    <w:p>
      <w:pPr>
        <w:jc w:val="left"/>
        <w:numPr>
          <w:ilvl w:val="0"/>
          <w:numId w:val="10"/>
        </w:numPr>
      </w:pPr>
      <w:r>
        <w:rPr>
          <w:rFonts w:ascii="Calibri" w:hAnsi="Calibri" w:eastAsia="Calibri"/>
          <w:b w:val="0"/>
          <w:color w:val="1F2933"/>
        </w:rPr>
        <w:t>Veterinary, fisheries, food and environmental subject-matter leadership.</w:t>
      </w:r>
    </w:p>
    <w:p>
      <w:pPr>
        <w:jc w:val="left"/>
        <w:numPr>
          <w:ilvl w:val="0"/>
          <w:numId w:val="10"/>
        </w:numPr>
      </w:pPr>
      <w:r>
        <w:rPr>
          <w:rFonts w:ascii="Calibri" w:hAnsi="Calibri" w:eastAsia="Calibri"/>
          <w:b w:val="0"/>
          <w:color w:val="1F2933"/>
        </w:rPr>
        <w:t>Enterprise architecture, interoperability and terminology.</w:t>
      </w:r>
    </w:p>
    <w:p>
      <w:pPr>
        <w:jc w:val="left"/>
        <w:numPr>
          <w:ilvl w:val="0"/>
          <w:numId w:val="10"/>
        </w:numPr>
      </w:pPr>
      <w:r>
        <w:rPr>
          <w:rFonts w:ascii="Calibri" w:hAnsi="Calibri" w:eastAsia="Calibri"/>
          <w:b w:val="0"/>
          <w:color w:val="1F2933"/>
        </w:rPr>
        <w:t>Data governance, legal, ethics and public communication.</w:t>
      </w:r>
    </w:p>
    <w:p>
      <w:pPr>
        <w:jc w:val="left"/>
        <w:numPr>
          <w:ilvl w:val="0"/>
          <w:numId w:val="10"/>
        </w:numPr>
      </w:pPr>
      <w:r>
        <w:rPr>
          <w:rFonts w:ascii="Calibri" w:hAnsi="Calibri" w:eastAsia="Calibri"/>
          <w:b w:val="0"/>
          <w:color w:val="1F2933"/>
        </w:rPr>
        <w:t>Cybersecurity, privacy, platform engineering and SRE.</w:t>
      </w:r>
    </w:p>
    <w:p>
      <w:pPr>
        <w:jc w:val="left"/>
        <w:numPr>
          <w:ilvl w:val="0"/>
          <w:numId w:val="10"/>
        </w:numPr>
      </w:pPr>
      <w:r>
        <w:rPr>
          <w:rFonts w:ascii="Calibri" w:hAnsi="Calibri" w:eastAsia="Calibri"/>
          <w:b w:val="0"/>
          <w:color w:val="1F2933"/>
        </w:rPr>
        <w:t>Programme management, procurement, finance, adoption and capacity building.</w:t>
      </w:r>
    </w:p>
    <w:p>
      <w:pPr>
        <w:jc w:val="left"/>
        <w:numPr>
          <w:ilvl w:val="0"/>
          <w:numId w:val="10"/>
        </w:numPr>
      </w:pPr>
      <w:r>
        <w:rPr>
          <w:rFonts w:ascii="Calibri" w:hAnsi="Calibri" w:eastAsia="Calibri"/>
          <w:b w:val="0"/>
          <w:color w:val="1F2933"/>
        </w:rPr>
        <w:t>Monitoring, evaluation and learning.</w:t>
      </w:r>
    </w:p>
    <w:p>
      <w:r>
        <w:rPr>
          <w:rFonts w:ascii="Calibri" w:hAnsi="Calibri" w:eastAsia="Calibri"/>
          <w:b w:val="0"/>
          <w:color w:val="1F2933"/>
        </w:rPr>
        <w:t>The unit maintains a public roadmap, controlled technical standards, release calendar, risk register, architecture decisions, implementation guides and change-control process.</w:t>
      </w:r>
    </w:p>
    <w:p>
      <w:pPr>
        <w:pStyle w:val="Heading2"/>
      </w:pPr>
      <w:r>
        <w:rPr>
          <w:rFonts w:ascii="Calibri" w:hAnsi="Calibri" w:eastAsia="Calibri"/>
          <w:b/>
          <w:color w:val="2E74B5"/>
          <w:sz w:val="26"/>
        </w:rPr>
        <w:t>4.3 State/UT, district and facility model</w:t>
      </w:r>
    </w:p>
    <w:tbl>
      <w:tblPr>
        <w:tblW w:type="dxa" w:w="9360"/>
        <w:jc w:val="left"/>
        <w:tblLayout w:type="fixed"/>
        <w:tblLook w:firstColumn="1" w:firstRow="1" w:lastColumn="0" w:lastRow="0" w:noHBand="0" w:noVBand="1" w:val="04A0"/>
        <w:tblInd w:w="120" w:type="dxa"/>
        <w:tblBorders>
          <w:top w:val="single" w:sz="6" w:space="0" w:color="D9E1E8"/>
          <w:left w:val="single" w:sz="6" w:space="0" w:color="D9E1E8"/>
          <w:bottom w:val="single" w:sz="6" w:space="0" w:color="D9E1E8"/>
          <w:right w:val="single" w:sz="6" w:space="0" w:color="D9E1E8"/>
          <w:insideH w:val="single" w:sz="6" w:space="0" w:color="D9E1E8"/>
          <w:insideV w:val="single" w:sz="6" w:space="0" w:color="D9E1E8"/>
        </w:tblBorders>
      </w:tblPr>
      <w:tblGrid>
        <w:gridCol w:w="1800"/>
        <w:gridCol w:w="3500"/>
        <w:gridCol w:w="4060"/>
      </w:tblGrid>
      <w:tr>
        <w:trPr>
          <w:tblHeader w:val="true"/>
          <w:cantSplit w:val="true"/>
        </w:trPr>
        <w:tc>
          <w:tcPr>
            <w:tcW w:type="dxa" w:w="1800"/>
            <w:tcMar>
              <w:top w:w="90" w:type="dxa"/>
              <w:start w:w="120" w:type="dxa"/>
              <w:bottom w:w="90" w:type="dxa"/>
              <w:end w:w="120" w:type="dxa"/>
            </w:tcMar>
            <w:vAlign w:val="center"/>
            <w:shd w:fill="17365D"/>
          </w:tcPr>
          <w:p>
            <w:pPr>
              <w:pStyle w:val="TableText"/>
              <w:jc w:val="left"/>
            </w:pPr>
            <w:r>
              <w:rPr>
                <w:rFonts w:ascii="Calibri" w:hAnsi="Calibri" w:eastAsia="Calibri"/>
                <w:b/>
                <w:color w:val="FFFFFF"/>
                <w:sz w:val="18"/>
              </w:rPr>
              <w:t>Tier</w:t>
            </w:r>
          </w:p>
        </w:tc>
        <w:tc>
          <w:tcPr>
            <w:tcW w:type="dxa" w:w="3500"/>
            <w:tcMar>
              <w:top w:w="90" w:type="dxa"/>
              <w:start w:w="120" w:type="dxa"/>
              <w:bottom w:w="90" w:type="dxa"/>
              <w:end w:w="120" w:type="dxa"/>
            </w:tcMar>
            <w:vAlign w:val="center"/>
            <w:shd w:fill="17365D"/>
          </w:tcPr>
          <w:p>
            <w:pPr>
              <w:pStyle w:val="TableText"/>
              <w:jc w:val="left"/>
            </w:pPr>
            <w:r>
              <w:rPr>
                <w:rFonts w:ascii="Calibri" w:hAnsi="Calibri" w:eastAsia="Calibri"/>
                <w:b/>
                <w:color w:val="FFFFFF"/>
                <w:sz w:val="18"/>
              </w:rPr>
              <w:t>Operating responsibility</w:t>
            </w:r>
          </w:p>
        </w:tc>
        <w:tc>
          <w:tcPr>
            <w:tcW w:type="dxa" w:w="4060"/>
            <w:tcMar>
              <w:top w:w="90" w:type="dxa"/>
              <w:start w:w="120" w:type="dxa"/>
              <w:bottom w:w="90" w:type="dxa"/>
              <w:end w:w="120" w:type="dxa"/>
            </w:tcMar>
            <w:vAlign w:val="center"/>
            <w:shd w:fill="17365D"/>
          </w:tcPr>
          <w:p>
            <w:pPr>
              <w:pStyle w:val="TableText"/>
              <w:jc w:val="left"/>
            </w:pPr>
            <w:r>
              <w:rPr>
                <w:rFonts w:ascii="Calibri" w:hAnsi="Calibri" w:eastAsia="Calibri"/>
                <w:b/>
                <w:color w:val="FFFFFF"/>
                <w:sz w:val="18"/>
              </w:rPr>
              <w:t>Minimum digital role</w:t>
            </w:r>
          </w:p>
        </w:tc>
      </w:tr>
      <w:tr>
        <w:trPr>
          <w:cantSplit w:val="true"/>
        </w:trPr>
        <w:tc>
          <w:tcPr>
            <w:tcW w:type="dxa" w:w="1800"/>
            <w:tcMar>
              <w:top w:w="90" w:type="dxa"/>
              <w:start w:w="120" w:type="dxa"/>
              <w:bottom w:w="90" w:type="dxa"/>
              <w:end w:w="120" w:type="dxa"/>
            </w:tcMar>
            <w:vAlign w:val="center"/>
          </w:tcPr>
          <w:p>
            <w:pPr>
              <w:pStyle w:val="TableText"/>
              <w:jc w:val="left"/>
            </w:pPr>
            <w:r>
              <w:rPr>
                <w:rFonts w:ascii="Calibri" w:hAnsi="Calibri" w:eastAsia="Calibri"/>
                <w:b w:val="0"/>
                <w:color w:val="1F2933"/>
                <w:sz w:val="18"/>
              </w:rPr>
              <w:t>State/UT Executive Committee</w:t>
            </w:r>
          </w:p>
        </w:tc>
        <w:tc>
          <w:tcPr>
            <w:tcW w:type="dxa" w:w="3500"/>
            <w:tcMar>
              <w:top w:w="90" w:type="dxa"/>
              <w:start w:w="120" w:type="dxa"/>
              <w:bottom w:w="90" w:type="dxa"/>
              <w:end w:w="120" w:type="dxa"/>
            </w:tcMar>
            <w:vAlign w:val="center"/>
          </w:tcPr>
          <w:p>
            <w:pPr>
              <w:pStyle w:val="TableText"/>
              <w:jc w:val="left"/>
            </w:pPr>
            <w:r>
              <w:rPr>
                <w:rFonts w:ascii="Calibri" w:hAnsi="Calibri" w:eastAsia="Calibri"/>
                <w:b w:val="0"/>
                <w:color w:val="1F2933"/>
                <w:sz w:val="18"/>
              </w:rPr>
              <w:t>Policy, resourcing, cross-department direction</w:t>
            </w:r>
          </w:p>
        </w:tc>
        <w:tc>
          <w:tcPr>
            <w:tcW w:type="dxa" w:w="4060"/>
            <w:tcMar>
              <w:top w:w="90" w:type="dxa"/>
              <w:start w:w="120" w:type="dxa"/>
              <w:bottom w:w="90" w:type="dxa"/>
              <w:end w:w="120" w:type="dxa"/>
            </w:tcMar>
            <w:vAlign w:val="center"/>
          </w:tcPr>
          <w:p>
            <w:pPr>
              <w:pStyle w:val="TableText"/>
              <w:jc w:val="left"/>
            </w:pPr>
            <w:r>
              <w:rPr>
                <w:rFonts w:ascii="Calibri" w:hAnsi="Calibri" w:eastAsia="Calibri"/>
                <w:b w:val="0"/>
                <w:color w:val="1F2933"/>
                <w:sz w:val="18"/>
              </w:rPr>
              <w:t>Approves SAP-CAR milestones and high-severity actions</w:t>
            </w:r>
          </w:p>
        </w:tc>
      </w:tr>
      <w:tr>
        <w:trPr>
          <w:cantSplit w:val="true"/>
        </w:trPr>
        <w:tc>
          <w:tcPr>
            <w:tcW w:type="dxa" w:w="1800"/>
            <w:tcMar>
              <w:top w:w="90" w:type="dxa"/>
              <w:start w:w="120" w:type="dxa"/>
              <w:bottom w:w="90" w:type="dxa"/>
              <w:end w:w="120" w:type="dxa"/>
            </w:tcMar>
            <w:vAlign w:val="center"/>
            <w:shd w:fill="F4F6F9"/>
          </w:tcPr>
          <w:p>
            <w:pPr>
              <w:pStyle w:val="TableText"/>
              <w:jc w:val="left"/>
            </w:pPr>
            <w:r>
              <w:rPr>
                <w:rFonts w:ascii="Calibri" w:hAnsi="Calibri" w:eastAsia="Calibri"/>
                <w:b w:val="0"/>
                <w:color w:val="1F2933"/>
                <w:sz w:val="18"/>
              </w:rPr>
              <w:t>State/UT Intersectoral Committee</w:t>
            </w:r>
          </w:p>
        </w:tc>
        <w:tc>
          <w:tcPr>
            <w:tcW w:type="dxa" w:w="3500"/>
            <w:tcMar>
              <w:top w:w="90" w:type="dxa"/>
              <w:start w:w="120" w:type="dxa"/>
              <w:bottom w:w="90" w:type="dxa"/>
              <w:end w:w="120" w:type="dxa"/>
            </w:tcMar>
            <w:vAlign w:val="center"/>
            <w:shd w:fill="F4F6F9"/>
          </w:tcPr>
          <w:p>
            <w:pPr>
              <w:pStyle w:val="TableText"/>
              <w:jc w:val="left"/>
            </w:pPr>
            <w:r>
              <w:rPr>
                <w:rFonts w:ascii="Calibri" w:hAnsi="Calibri" w:eastAsia="Calibri"/>
                <w:b w:val="0"/>
                <w:color w:val="1F2933"/>
                <w:sz w:val="18"/>
              </w:rPr>
              <w:t>Quarterly coordination, prioritisation and data-sharing decisions</w:t>
            </w:r>
          </w:p>
        </w:tc>
        <w:tc>
          <w:tcPr>
            <w:tcW w:type="dxa" w:w="4060"/>
            <w:tcMar>
              <w:top w:w="90" w:type="dxa"/>
              <w:start w:w="120" w:type="dxa"/>
              <w:bottom w:w="90" w:type="dxa"/>
              <w:end w:w="120" w:type="dxa"/>
            </w:tcMar>
            <w:vAlign w:val="center"/>
            <w:shd w:fill="F4F6F9"/>
          </w:tcPr>
          <w:p>
            <w:pPr>
              <w:pStyle w:val="TableText"/>
              <w:jc w:val="left"/>
            </w:pPr>
            <w:r>
              <w:rPr>
                <w:rFonts w:ascii="Calibri" w:hAnsi="Calibri" w:eastAsia="Calibri"/>
                <w:b w:val="0"/>
                <w:color w:val="1F2933"/>
                <w:sz w:val="18"/>
              </w:rPr>
              <w:t>Reviews cross-sector signals, data quality and action backlog</w:t>
            </w:r>
          </w:p>
        </w:tc>
      </w:tr>
      <w:tr>
        <w:trPr>
          <w:cantSplit w:val="true"/>
        </w:trPr>
        <w:tc>
          <w:tcPr>
            <w:tcW w:type="dxa" w:w="1800"/>
            <w:tcMar>
              <w:top w:w="90" w:type="dxa"/>
              <w:start w:w="120" w:type="dxa"/>
              <w:bottom w:w="90" w:type="dxa"/>
              <w:end w:w="120" w:type="dxa"/>
            </w:tcMar>
            <w:vAlign w:val="center"/>
          </w:tcPr>
          <w:p>
            <w:pPr>
              <w:pStyle w:val="TableText"/>
              <w:jc w:val="left"/>
            </w:pPr>
            <w:r>
              <w:rPr>
                <w:rFonts w:ascii="Calibri" w:hAnsi="Calibri" w:eastAsia="Calibri"/>
                <w:b w:val="0"/>
                <w:color w:val="1F2933"/>
                <w:sz w:val="18"/>
              </w:rPr>
              <w:t>State/UT One Health/AMR Unit</w:t>
            </w:r>
          </w:p>
        </w:tc>
        <w:tc>
          <w:tcPr>
            <w:tcW w:type="dxa" w:w="3500"/>
            <w:tcMar>
              <w:top w:w="90" w:type="dxa"/>
              <w:start w:w="120" w:type="dxa"/>
              <w:bottom w:w="90" w:type="dxa"/>
              <w:end w:w="120" w:type="dxa"/>
            </w:tcMar>
            <w:vAlign w:val="center"/>
          </w:tcPr>
          <w:p>
            <w:pPr>
              <w:pStyle w:val="TableText"/>
              <w:jc w:val="left"/>
            </w:pPr>
            <w:r>
              <w:rPr>
                <w:rFonts w:ascii="Calibri" w:hAnsi="Calibri" w:eastAsia="Calibri"/>
                <w:b w:val="0"/>
                <w:color w:val="1F2933"/>
                <w:sz w:val="18"/>
              </w:rPr>
              <w:t>Continuous operations and secretariat</w:t>
            </w:r>
          </w:p>
        </w:tc>
        <w:tc>
          <w:tcPr>
            <w:tcW w:type="dxa" w:w="4060"/>
            <w:tcMar>
              <w:top w:w="90" w:type="dxa"/>
              <w:start w:w="120" w:type="dxa"/>
              <w:bottom w:w="90" w:type="dxa"/>
              <w:end w:w="120" w:type="dxa"/>
            </w:tcMar>
            <w:vAlign w:val="center"/>
          </w:tcPr>
          <w:p>
            <w:pPr>
              <w:pStyle w:val="TableText"/>
              <w:jc w:val="left"/>
            </w:pPr>
            <w:r>
              <w:rPr>
                <w:rFonts w:ascii="Calibri" w:hAnsi="Calibri" w:eastAsia="Calibri"/>
                <w:b w:val="0"/>
                <w:color w:val="1F2933"/>
                <w:sz w:val="18"/>
              </w:rPr>
              <w:t>Operates State console, standards support, onboarding and reporting</w:t>
            </w:r>
          </w:p>
        </w:tc>
      </w:tr>
      <w:tr>
        <w:trPr>
          <w:cantSplit w:val="true"/>
        </w:trPr>
        <w:tc>
          <w:tcPr>
            <w:tcW w:type="dxa" w:w="1800"/>
            <w:tcMar>
              <w:top w:w="90" w:type="dxa"/>
              <w:start w:w="120" w:type="dxa"/>
              <w:bottom w:w="90" w:type="dxa"/>
              <w:end w:w="120" w:type="dxa"/>
            </w:tcMar>
            <w:vAlign w:val="center"/>
            <w:shd w:fill="F4F6F9"/>
          </w:tcPr>
          <w:p>
            <w:pPr>
              <w:pStyle w:val="TableText"/>
              <w:jc w:val="left"/>
            </w:pPr>
            <w:r>
              <w:rPr>
                <w:rFonts w:ascii="Calibri" w:hAnsi="Calibri" w:eastAsia="Calibri"/>
                <w:b w:val="0"/>
                <w:color w:val="1F2933"/>
                <w:sz w:val="18"/>
              </w:rPr>
              <w:t>District One Health/AMR Committee</w:t>
            </w:r>
          </w:p>
        </w:tc>
        <w:tc>
          <w:tcPr>
            <w:tcW w:type="dxa" w:w="3500"/>
            <w:tcMar>
              <w:top w:w="90" w:type="dxa"/>
              <w:start w:w="120" w:type="dxa"/>
              <w:bottom w:w="90" w:type="dxa"/>
              <w:end w:w="120" w:type="dxa"/>
            </w:tcMar>
            <w:vAlign w:val="center"/>
            <w:shd w:fill="F4F6F9"/>
          </w:tcPr>
          <w:p>
            <w:pPr>
              <w:pStyle w:val="TableText"/>
              <w:jc w:val="left"/>
            </w:pPr>
            <w:r>
              <w:rPr>
                <w:rFonts w:ascii="Calibri" w:hAnsi="Calibri" w:eastAsia="Calibri"/>
                <w:b w:val="0"/>
                <w:color w:val="1F2933"/>
                <w:sz w:val="18"/>
              </w:rPr>
              <w:t>Local investigation, response and resource coordination</w:t>
            </w:r>
          </w:p>
        </w:tc>
        <w:tc>
          <w:tcPr>
            <w:tcW w:type="dxa" w:w="4060"/>
            <w:tcMar>
              <w:top w:w="90" w:type="dxa"/>
              <w:start w:w="120" w:type="dxa"/>
              <w:bottom w:w="90" w:type="dxa"/>
              <w:end w:w="120" w:type="dxa"/>
            </w:tcMar>
            <w:vAlign w:val="center"/>
            <w:shd w:fill="F4F6F9"/>
          </w:tcPr>
          <w:p>
            <w:pPr>
              <w:pStyle w:val="TableText"/>
              <w:jc w:val="left"/>
            </w:pPr>
            <w:r>
              <w:rPr>
                <w:rFonts w:ascii="Calibri" w:hAnsi="Calibri" w:eastAsia="Calibri"/>
                <w:b w:val="0"/>
                <w:color w:val="1F2933"/>
                <w:sz w:val="18"/>
              </w:rPr>
              <w:t>Owns district alerts, assignments, SLA and action closure</w:t>
            </w:r>
          </w:p>
        </w:tc>
      </w:tr>
      <w:tr>
        <w:trPr>
          <w:cantSplit w:val="true"/>
        </w:trPr>
        <w:tc>
          <w:tcPr>
            <w:tcW w:type="dxa" w:w="1800"/>
            <w:tcMar>
              <w:top w:w="90" w:type="dxa"/>
              <w:start w:w="120" w:type="dxa"/>
              <w:bottom w:w="90" w:type="dxa"/>
              <w:end w:w="120" w:type="dxa"/>
            </w:tcMar>
            <w:vAlign w:val="center"/>
          </w:tcPr>
          <w:p>
            <w:pPr>
              <w:pStyle w:val="TableText"/>
              <w:jc w:val="left"/>
            </w:pPr>
            <w:r>
              <w:rPr>
                <w:rFonts w:ascii="Calibri" w:hAnsi="Calibri" w:eastAsia="Calibri"/>
                <w:b w:val="0"/>
                <w:color w:val="1F2933"/>
                <w:sz w:val="18"/>
              </w:rPr>
              <w:t>Block/LSG structures</w:t>
            </w:r>
          </w:p>
        </w:tc>
        <w:tc>
          <w:tcPr>
            <w:tcW w:type="dxa" w:w="3500"/>
            <w:tcMar>
              <w:top w:w="90" w:type="dxa"/>
              <w:start w:w="120" w:type="dxa"/>
              <w:bottom w:w="90" w:type="dxa"/>
              <w:end w:w="120" w:type="dxa"/>
            </w:tcMar>
            <w:vAlign w:val="center"/>
          </w:tcPr>
          <w:p>
            <w:pPr>
              <w:pStyle w:val="TableText"/>
              <w:jc w:val="left"/>
            </w:pPr>
            <w:r>
              <w:rPr>
                <w:rFonts w:ascii="Calibri" w:hAnsi="Calibri" w:eastAsia="Calibri"/>
                <w:b w:val="0"/>
                <w:color w:val="1F2933"/>
                <w:sz w:val="18"/>
              </w:rPr>
              <w:t>Community implementation and reporting</w:t>
            </w:r>
          </w:p>
        </w:tc>
        <w:tc>
          <w:tcPr>
            <w:tcW w:type="dxa" w:w="4060"/>
            <w:tcMar>
              <w:top w:w="90" w:type="dxa"/>
              <w:start w:w="120" w:type="dxa"/>
              <w:bottom w:w="90" w:type="dxa"/>
              <w:end w:w="120" w:type="dxa"/>
            </w:tcMar>
            <w:vAlign w:val="center"/>
          </w:tcPr>
          <w:p>
            <w:pPr>
              <w:pStyle w:val="TableText"/>
              <w:jc w:val="left"/>
            </w:pPr>
            <w:r>
              <w:rPr>
                <w:rFonts w:ascii="Calibri" w:hAnsi="Calibri" w:eastAsia="Calibri"/>
                <w:b w:val="0"/>
                <w:color w:val="1F2933"/>
                <w:sz w:val="18"/>
              </w:rPr>
              <w:t>Mobile/offline tasks, risk communication and local evidence</w:t>
            </w:r>
          </w:p>
        </w:tc>
      </w:tr>
      <w:tr>
        <w:trPr>
          <w:cantSplit w:val="true"/>
        </w:trPr>
        <w:tc>
          <w:tcPr>
            <w:tcW w:type="dxa" w:w="1800"/>
            <w:tcMar>
              <w:top w:w="90" w:type="dxa"/>
              <w:start w:w="120" w:type="dxa"/>
              <w:bottom w:w="90" w:type="dxa"/>
              <w:end w:w="120" w:type="dxa"/>
            </w:tcMar>
            <w:vAlign w:val="center"/>
            <w:shd w:fill="F4F6F9"/>
          </w:tcPr>
          <w:p>
            <w:pPr>
              <w:pStyle w:val="TableText"/>
              <w:jc w:val="left"/>
            </w:pPr>
            <w:r>
              <w:rPr>
                <w:rFonts w:ascii="Calibri" w:hAnsi="Calibri" w:eastAsia="Calibri"/>
                <w:b w:val="0"/>
                <w:color w:val="1F2933"/>
                <w:sz w:val="18"/>
              </w:rPr>
              <w:t>Facility/laboratory AMS/IPC team</w:t>
            </w:r>
          </w:p>
        </w:tc>
        <w:tc>
          <w:tcPr>
            <w:tcW w:type="dxa" w:w="3500"/>
            <w:tcMar>
              <w:top w:w="90" w:type="dxa"/>
              <w:start w:w="120" w:type="dxa"/>
              <w:bottom w:w="90" w:type="dxa"/>
              <w:end w:w="120" w:type="dxa"/>
            </w:tcMar>
            <w:vAlign w:val="center"/>
            <w:shd w:fill="F4F6F9"/>
          </w:tcPr>
          <w:p>
            <w:pPr>
              <w:pStyle w:val="TableText"/>
              <w:jc w:val="left"/>
            </w:pPr>
            <w:r>
              <w:rPr>
                <w:rFonts w:ascii="Calibri" w:hAnsi="Calibri" w:eastAsia="Calibri"/>
                <w:b w:val="0"/>
                <w:color w:val="1F2933"/>
                <w:sz w:val="18"/>
              </w:rPr>
              <w:t>Data capture, validation, local action and feedback</w:t>
            </w:r>
          </w:p>
        </w:tc>
        <w:tc>
          <w:tcPr>
            <w:tcW w:type="dxa" w:w="4060"/>
            <w:tcMar>
              <w:top w:w="90" w:type="dxa"/>
              <w:start w:w="120" w:type="dxa"/>
              <w:bottom w:w="90" w:type="dxa"/>
              <w:end w:w="120" w:type="dxa"/>
            </w:tcMar>
            <w:vAlign w:val="center"/>
            <w:shd w:fill="F4F6F9"/>
          </w:tcPr>
          <w:p>
            <w:pPr>
              <w:pStyle w:val="TableText"/>
              <w:jc w:val="left"/>
            </w:pPr>
            <w:r>
              <w:rPr>
                <w:rFonts w:ascii="Calibri" w:hAnsi="Calibri" w:eastAsia="Calibri"/>
                <w:b w:val="0"/>
                <w:color w:val="1F2933"/>
                <w:sz w:val="18"/>
              </w:rPr>
              <w:t>Edge app, local antibiogram, stewardship and quality workbench</w:t>
            </w:r>
          </w:p>
        </w:tc>
      </w:tr>
    </w:tbl>
    <w:p>
      <w:pPr>
        <w:spacing w:after="40"/>
      </w:pPr>
    </w:p>
    <w:p>
      <w:pPr>
        <w:pStyle w:val="Heading2"/>
      </w:pPr>
      <w:r>
        <w:rPr>
          <w:rFonts w:ascii="Calibri" w:hAnsi="Calibri" w:eastAsia="Calibri"/>
          <w:b/>
          <w:color w:val="2E74B5"/>
          <w:sz w:val="26"/>
        </w:rPr>
        <w:t>4.4 Data stewardship and accountability</w:t>
      </w:r>
    </w:p>
    <w:p>
      <w:r>
        <w:rPr>
          <w:rFonts w:ascii="Calibri" w:hAnsi="Calibri" w:eastAsia="Calibri"/>
          <w:b w:val="0"/>
          <w:color w:val="1F2933"/>
        </w:rPr>
        <w:t>Every dataset or data product must have:</w:t>
      </w:r>
    </w:p>
    <w:p>
      <w:pPr>
        <w:jc w:val="left"/>
        <w:numPr>
          <w:ilvl w:val="0"/>
          <w:numId w:val="10"/>
        </w:numPr>
      </w:pPr>
      <w:r>
        <w:rPr>
          <w:rFonts w:ascii="Calibri" w:hAnsi="Calibri" w:eastAsia="Calibri"/>
          <w:b w:val="0"/>
          <w:color w:val="1F2933"/>
        </w:rPr>
        <w:t>A named business owner, data steward and technical custodian.</w:t>
      </w:r>
    </w:p>
    <w:p>
      <w:pPr>
        <w:jc w:val="left"/>
        <w:numPr>
          <w:ilvl w:val="0"/>
          <w:numId w:val="10"/>
        </w:numPr>
      </w:pPr>
      <w:r>
        <w:rPr>
          <w:rFonts w:ascii="Calibri" w:hAnsi="Calibri" w:eastAsia="Calibri"/>
          <w:b w:val="0"/>
          <w:color w:val="1F2933"/>
        </w:rPr>
        <w:t>A defined purpose and lawful basis.</w:t>
      </w:r>
    </w:p>
    <w:p>
      <w:pPr>
        <w:jc w:val="left"/>
        <w:numPr>
          <w:ilvl w:val="0"/>
          <w:numId w:val="10"/>
        </w:numPr>
      </w:pPr>
      <w:r>
        <w:rPr>
          <w:rFonts w:ascii="Calibri" w:hAnsi="Calibri" w:eastAsia="Calibri"/>
          <w:b w:val="0"/>
          <w:color w:val="1F2933"/>
        </w:rPr>
        <w:t>A minimum dataset and controlled vocabulary.</w:t>
      </w:r>
    </w:p>
    <w:p>
      <w:pPr>
        <w:jc w:val="left"/>
        <w:numPr>
          <w:ilvl w:val="0"/>
          <w:numId w:val="10"/>
        </w:numPr>
      </w:pPr>
      <w:r>
        <w:rPr>
          <w:rFonts w:ascii="Calibri" w:hAnsi="Calibri" w:eastAsia="Calibri"/>
          <w:b w:val="0"/>
          <w:color w:val="1F2933"/>
        </w:rPr>
        <w:t>A refresh frequency and service-level objective.</w:t>
      </w:r>
    </w:p>
    <w:p>
      <w:pPr>
        <w:jc w:val="left"/>
        <w:numPr>
          <w:ilvl w:val="0"/>
          <w:numId w:val="10"/>
        </w:numPr>
      </w:pPr>
      <w:r>
        <w:rPr>
          <w:rFonts w:ascii="Calibri" w:hAnsi="Calibri" w:eastAsia="Calibri"/>
          <w:b w:val="0"/>
          <w:color w:val="1F2933"/>
        </w:rPr>
        <w:t>Quality rules and correction workflow.</w:t>
      </w:r>
    </w:p>
    <w:p>
      <w:pPr>
        <w:jc w:val="left"/>
        <w:numPr>
          <w:ilvl w:val="0"/>
          <w:numId w:val="10"/>
        </w:numPr>
      </w:pPr>
      <w:r>
        <w:rPr>
          <w:rFonts w:ascii="Calibri" w:hAnsi="Calibri" w:eastAsia="Calibri"/>
          <w:b w:val="0"/>
          <w:color w:val="1F2933"/>
        </w:rPr>
        <w:t>Access classifications and approved consumer roles.</w:t>
      </w:r>
    </w:p>
    <w:p>
      <w:pPr>
        <w:jc w:val="left"/>
        <w:numPr>
          <w:ilvl w:val="0"/>
          <w:numId w:val="10"/>
        </w:numPr>
      </w:pPr>
      <w:r>
        <w:rPr>
          <w:rFonts w:ascii="Calibri" w:hAnsi="Calibri" w:eastAsia="Calibri"/>
          <w:b w:val="0"/>
          <w:color w:val="1F2933"/>
        </w:rPr>
        <w:t>Retention, archival and deletion rules.</w:t>
      </w:r>
    </w:p>
    <w:p>
      <w:pPr>
        <w:jc w:val="left"/>
        <w:numPr>
          <w:ilvl w:val="0"/>
          <w:numId w:val="10"/>
        </w:numPr>
      </w:pPr>
      <w:r>
        <w:rPr>
          <w:rFonts w:ascii="Calibri" w:hAnsi="Calibri" w:eastAsia="Calibri"/>
          <w:b w:val="0"/>
          <w:color w:val="1F2933"/>
        </w:rPr>
        <w:t>A versioned data-sharing agreement.</w:t>
      </w:r>
    </w:p>
    <w:p>
      <w:pPr>
        <w:jc w:val="left"/>
        <w:numPr>
          <w:ilvl w:val="0"/>
          <w:numId w:val="10"/>
        </w:numPr>
      </w:pPr>
      <w:r>
        <w:rPr>
          <w:rFonts w:ascii="Calibri" w:hAnsi="Calibri" w:eastAsia="Calibri"/>
          <w:b w:val="0"/>
          <w:color w:val="1F2933"/>
        </w:rPr>
        <w:t>A published methodology, numerator, denominator and suppression rule.</w:t>
      </w:r>
    </w:p>
    <w:p>
      <w:pPr>
        <w:pStyle w:val="Heading1"/>
      </w:pPr>
      <w:r>
        <w:rPr>
          <w:rFonts w:ascii="Calibri" w:hAnsi="Calibri" w:eastAsia="Calibri"/>
          <w:b/>
          <w:color w:val="2E74B5"/>
          <w:sz w:val="32"/>
        </w:rPr>
        <w:t>5. Target technical architecture</w:t>
      </w:r>
    </w:p>
    <w:p>
      <w:pPr>
        <w:pStyle w:val="Heading2"/>
      </w:pPr>
      <w:r>
        <w:rPr>
          <w:rFonts w:ascii="Calibri" w:hAnsi="Calibri" w:eastAsia="Calibri"/>
          <w:b/>
          <w:color w:val="2E74B5"/>
          <w:sz w:val="26"/>
        </w:rPr>
        <w:t>5.1 Logical architecture</w:t>
      </w:r>
    </w:p>
    <w:p>
      <w:pPr>
        <w:jc w:val="left"/>
      </w:pPr>
      <w:r>
        <w:t>The figure below shows how the existing desktop/server combination becomes a federated national ecosystem while retaining sector ownership of operational data.</w:t>
      </w:r>
    </w:p>
    <w:p>
      <w:r>
        <w:drawing>
          <wp:inline xmlns:a="http://schemas.openxmlformats.org/drawingml/2006/main" xmlns:pic="http://schemas.openxmlformats.org/drawingml/2006/picture">
            <wp:extent cx="5897880" cy="3604260"/>
            <wp:docPr id="1" name="Picture 1" title="Federated target architecture" descr="Four-layer diagram showing sector edge applications, secure exchange services, national coordination services, and knowledge, research and reporting outputs."/>
            <wp:cNvGraphicFramePr>
              <a:graphicFrameLocks noChangeAspect="1"/>
            </wp:cNvGraphicFramePr>
            <a:graphic>
              <a:graphicData uri="http://schemas.openxmlformats.org/drawingml/2006/picture">
                <pic:pic>
                  <pic:nvPicPr>
                    <pic:cNvPr id="0" name="national_amr_target_architecture.png"/>
                    <pic:cNvPicPr/>
                  </pic:nvPicPr>
                  <pic:blipFill>
                    <a:blip r:embed="rId13"/>
                    <a:stretch>
                      <a:fillRect/>
                    </a:stretch>
                  </pic:blipFill>
                  <pic:spPr>
                    <a:xfrm>
                      <a:off x="0" y="0"/>
                      <a:ext cx="5897880" cy="3604260"/>
                    </a:xfrm>
                    <a:prstGeom prst="rect"/>
                  </pic:spPr>
                </pic:pic>
              </a:graphicData>
            </a:graphic>
          </wp:inline>
        </w:drawing>
      </w:r>
    </w:p>
    <w:p>
      <w:pPr>
        <w:spacing w:after="200"/>
        <w:jc w:val="center"/>
      </w:pPr>
      <w:r>
        <w:rPr>
          <w:rFonts w:ascii="Calibri" w:hAnsi="Calibri" w:eastAsia="Calibri"/>
          <w:i/>
          <w:color w:val="5B6573"/>
          <w:sz w:val="18"/>
        </w:rPr>
        <w:t>Figure 1. Federated target architecture for the National AMR Ecosystem</w:t>
      </w:r>
    </w:p>
    <w:p>
      <w:r>
        <w:rPr>
          <w:rFonts w:ascii="Calibri" w:hAnsi="Calibri" w:eastAsia="Calibri"/>
          <w:b w:val="0"/>
          <w:color w:val="1F2933"/>
        </w:rPr>
        <w:t xml:space="preserve">The target is a </w:t>
      </w:r>
      <w:r>
        <w:rPr>
          <w:rFonts w:ascii="Calibri" w:hAnsi="Calibri" w:eastAsia="Calibri"/>
          <w:b/>
          <w:color w:val="1F2933"/>
        </w:rPr>
        <w:t>federated data mesh with a national control plane</w:t>
      </w:r>
      <w:r>
        <w:rPr>
          <w:rFonts w:ascii="Calibri" w:hAnsi="Calibri" w:eastAsia="Calibri"/>
          <w:b w:val="0"/>
          <w:color w:val="1F2933"/>
        </w:rPr>
        <w:t>. Sector systems publish governed data products; the centre coordinates identities, standards, queries, alerts, workflows and authorised aggregation.</w:t>
      </w:r>
    </w:p>
    <w:p>
      <w:pPr>
        <w:pStyle w:val="Heading3"/>
      </w:pPr>
      <w:r>
        <w:rPr>
          <w:rFonts w:ascii="Calibri" w:hAnsi="Calibri" w:eastAsia="Calibri"/>
          <w:b/>
          <w:color w:val="1F4D78"/>
          <w:sz w:val="24"/>
        </w:rPr>
        <w:t>Layer A — Source and edge systems</w:t>
      </w:r>
    </w:p>
    <w:p>
      <w:pPr>
        <w:jc w:val="left"/>
        <w:numPr>
          <w:ilvl w:val="0"/>
          <w:numId w:val="10"/>
        </w:numPr>
      </w:pPr>
      <w:r>
        <w:rPr>
          <w:rFonts w:ascii="Calibri" w:hAnsi="Calibri" w:eastAsia="Calibri"/>
          <w:b w:val="0"/>
          <w:color w:val="1F2933"/>
        </w:rPr>
        <w:t>AMRIT Human Lab: clinical microbiology, AST, isolate alerts, exports and local antibiograms.</w:t>
      </w:r>
    </w:p>
    <w:p>
      <w:pPr>
        <w:jc w:val="left"/>
        <w:numPr>
          <w:ilvl w:val="0"/>
          <w:numId w:val="10"/>
        </w:numPr>
      </w:pPr>
      <w:r>
        <w:rPr>
          <w:rFonts w:ascii="Calibri" w:hAnsi="Calibri" w:eastAsia="Calibri"/>
          <w:b w:val="0"/>
          <w:color w:val="1F2933"/>
        </w:rPr>
        <w:t>AMRIT Stewardship: prescriptions, indication, review/stop dates, days of therapy, AWaRe, audit and feedback.</w:t>
      </w:r>
    </w:p>
    <w:p>
      <w:pPr>
        <w:jc w:val="left"/>
        <w:numPr>
          <w:ilvl w:val="0"/>
          <w:numId w:val="10"/>
        </w:numPr>
      </w:pPr>
      <w:r>
        <w:rPr>
          <w:rFonts w:ascii="Calibri" w:hAnsi="Calibri" w:eastAsia="Calibri"/>
          <w:b w:val="0"/>
          <w:color w:val="1F2933"/>
        </w:rPr>
        <w:t>AMRIT IPC/HAI: HAI cases, device denominators, IPC assessments, outbreaks and interventions.</w:t>
      </w:r>
    </w:p>
    <w:p>
      <w:pPr>
        <w:jc w:val="left"/>
        <w:numPr>
          <w:ilvl w:val="0"/>
          <w:numId w:val="10"/>
        </w:numPr>
      </w:pPr>
      <w:r>
        <w:rPr>
          <w:rFonts w:ascii="Calibri" w:hAnsi="Calibri" w:eastAsia="Calibri"/>
          <w:b w:val="0"/>
          <w:color w:val="1F2933"/>
        </w:rPr>
        <w:t>AMRIT Vet/Fisheries: animal/aquatic host, farm/flock/herd/pond, sample, AST, treatment and biosecurity.</w:t>
      </w:r>
    </w:p>
    <w:p>
      <w:pPr>
        <w:jc w:val="left"/>
        <w:numPr>
          <w:ilvl w:val="0"/>
          <w:numId w:val="10"/>
        </w:numPr>
      </w:pPr>
      <w:r>
        <w:rPr>
          <w:rFonts w:ascii="Calibri" w:hAnsi="Calibri" w:eastAsia="Calibri"/>
          <w:b w:val="0"/>
          <w:color w:val="1F2933"/>
        </w:rPr>
        <w:t>AMRIT Food: commodity, source, sample chain-of-custody, isolate/AST and residue findings.</w:t>
      </w:r>
    </w:p>
    <w:p>
      <w:pPr>
        <w:jc w:val="left"/>
        <w:numPr>
          <w:ilvl w:val="0"/>
          <w:numId w:val="10"/>
        </w:numPr>
      </w:pPr>
      <w:r>
        <w:rPr>
          <w:rFonts w:ascii="Calibri" w:hAnsi="Calibri" w:eastAsia="Calibri"/>
          <w:b w:val="0"/>
          <w:color w:val="1F2933"/>
        </w:rPr>
        <w:t>AMRIT Environment: matrix/site, discharge context, sampling, culture, genes and residues.</w:t>
      </w:r>
    </w:p>
    <w:p>
      <w:pPr>
        <w:jc w:val="left"/>
        <w:numPr>
          <w:ilvl w:val="0"/>
          <w:numId w:val="10"/>
        </w:numPr>
      </w:pPr>
      <w:r>
        <w:rPr>
          <w:rFonts w:ascii="Calibri" w:hAnsi="Calibri" w:eastAsia="Calibri"/>
          <w:b w:val="0"/>
          <w:color w:val="1F2933"/>
        </w:rPr>
        <w:t>Reference Lab/Genomics: sample referral, sequencing, quality, lineage, resistance determinants and cluster findings.</w:t>
      </w:r>
    </w:p>
    <w:p>
      <w:pPr>
        <w:jc w:val="left"/>
        <w:numPr>
          <w:ilvl w:val="0"/>
          <w:numId w:val="10"/>
        </w:numPr>
      </w:pPr>
      <w:r>
        <w:rPr>
          <w:rFonts w:ascii="Calibri" w:hAnsi="Calibri" w:eastAsia="Calibri"/>
          <w:b w:val="0"/>
          <w:color w:val="1F2933"/>
        </w:rPr>
        <w:t>Connectors to LIS/HMIS/pharmacy/ERP, IHIP/IDSP, ABDM registries, NDLM/NADRES, FSSAI systems, CPCB/SPCB systems, procurement and drug-regulatory systems.</w:t>
      </w:r>
    </w:p>
    <w:p>
      <w:pPr>
        <w:jc w:val="left"/>
        <w:numPr>
          <w:ilvl w:val="0"/>
          <w:numId w:val="10"/>
        </w:numPr>
      </w:pPr>
      <w:r>
        <w:rPr>
          <w:rFonts w:ascii="Calibri" w:hAnsi="Calibri" w:eastAsia="Calibri"/>
          <w:b w:val="0"/>
          <w:color w:val="1F2933"/>
        </w:rPr>
        <w:t>Mobile field capture for district veterinary, food, environment and community teams.</w:t>
      </w:r>
    </w:p>
    <w:p>
      <w:pPr>
        <w:pStyle w:val="Heading3"/>
      </w:pPr>
      <w:r>
        <w:rPr>
          <w:rFonts w:ascii="Calibri" w:hAnsi="Calibri" w:eastAsia="Calibri"/>
          <w:b/>
          <w:color w:val="1F4D78"/>
          <w:sz w:val="24"/>
        </w:rPr>
        <w:t>Layer B — Local integration and privacy gateway</w:t>
      </w:r>
    </w:p>
    <w:p>
      <w:pPr>
        <w:jc w:val="left"/>
        <w:numPr>
          <w:ilvl w:val="0"/>
          <w:numId w:val="10"/>
        </w:numPr>
      </w:pPr>
      <w:r>
        <w:rPr>
          <w:rFonts w:ascii="Calibri" w:hAnsi="Calibri" w:eastAsia="Calibri"/>
          <w:b w:val="0"/>
          <w:color w:val="1F2933"/>
        </w:rPr>
        <w:t>Source adapters for CSV, WHONET, HL7 v2, FHIR R4, APIs, secure files and manual entry.</w:t>
      </w:r>
    </w:p>
    <w:p>
      <w:pPr>
        <w:jc w:val="left"/>
        <w:numPr>
          <w:ilvl w:val="0"/>
          <w:numId w:val="10"/>
        </w:numPr>
      </w:pPr>
      <w:r>
        <w:rPr>
          <w:rFonts w:ascii="Calibri" w:hAnsi="Calibri" w:eastAsia="Calibri"/>
          <w:b w:val="0"/>
          <w:color w:val="1F2933"/>
        </w:rPr>
        <w:t>Schema validation, terminology mapping, deduplication, provenance and data-quality checks.</w:t>
      </w:r>
    </w:p>
    <w:p>
      <w:pPr>
        <w:jc w:val="left"/>
        <w:numPr>
          <w:ilvl w:val="0"/>
          <w:numId w:val="10"/>
        </w:numPr>
      </w:pPr>
      <w:r>
        <w:rPr>
          <w:rFonts w:ascii="Calibri" w:hAnsi="Calibri" w:eastAsia="Calibri"/>
          <w:b w:val="0"/>
          <w:color w:val="1F2933"/>
        </w:rPr>
        <w:t>Local pseudonymisation/tokenisation where longitudinal analysis is authorised.</w:t>
      </w:r>
    </w:p>
    <w:p>
      <w:pPr>
        <w:jc w:val="left"/>
        <w:numPr>
          <w:ilvl w:val="0"/>
          <w:numId w:val="10"/>
        </w:numPr>
      </w:pPr>
      <w:r>
        <w:rPr>
          <w:rFonts w:ascii="Calibri" w:hAnsi="Calibri" w:eastAsia="Calibri"/>
          <w:b w:val="0"/>
          <w:color w:val="1F2933"/>
        </w:rPr>
        <w:t>Query policy engine, disclosure control, k-anonymity and minimum-denominator enforcement.</w:t>
      </w:r>
    </w:p>
    <w:p>
      <w:pPr>
        <w:jc w:val="left"/>
        <w:numPr>
          <w:ilvl w:val="0"/>
          <w:numId w:val="10"/>
        </w:numPr>
      </w:pPr>
      <w:r>
        <w:rPr>
          <w:rFonts w:ascii="Calibri" w:hAnsi="Calibri" w:eastAsia="Calibri"/>
          <w:b w:val="0"/>
          <w:color w:val="1F2933"/>
        </w:rPr>
        <w:t>Store-and-forward queue with signed batches, retry, idempotency and reconciliation.</w:t>
      </w:r>
    </w:p>
    <w:p>
      <w:pPr>
        <w:jc w:val="left"/>
        <w:numPr>
          <w:ilvl w:val="0"/>
          <w:numId w:val="10"/>
        </w:numPr>
      </w:pPr>
      <w:r>
        <w:rPr>
          <w:rFonts w:ascii="Calibri" w:hAnsi="Calibri" w:eastAsia="Calibri"/>
          <w:b w:val="0"/>
          <w:color w:val="1F2933"/>
        </w:rPr>
        <w:t>Local audit trail and device health.</w:t>
      </w:r>
    </w:p>
    <w:p>
      <w:pPr>
        <w:pStyle w:val="Heading3"/>
      </w:pPr>
      <w:r>
        <w:rPr>
          <w:rFonts w:ascii="Calibri" w:hAnsi="Calibri" w:eastAsia="Calibri"/>
          <w:b/>
          <w:color w:val="1F4D78"/>
          <w:sz w:val="24"/>
        </w:rPr>
        <w:t>Layer C — Secure exchange plane</w:t>
      </w:r>
    </w:p>
    <w:p>
      <w:pPr>
        <w:jc w:val="left"/>
        <w:numPr>
          <w:ilvl w:val="0"/>
          <w:numId w:val="10"/>
        </w:numPr>
      </w:pPr>
      <w:r>
        <w:rPr>
          <w:rFonts w:ascii="Calibri" w:hAnsi="Calibri" w:eastAsia="Calibri"/>
          <w:b w:val="0"/>
          <w:color w:val="1F2933"/>
        </w:rPr>
        <w:t>API gateway and web application firewall.</w:t>
      </w:r>
    </w:p>
    <w:p>
      <w:pPr>
        <w:jc w:val="left"/>
        <w:numPr>
          <w:ilvl w:val="0"/>
          <w:numId w:val="10"/>
        </w:numPr>
      </w:pPr>
      <w:r>
        <w:rPr>
          <w:rFonts w:ascii="Calibri" w:hAnsi="Calibri" w:eastAsia="Calibri"/>
          <w:b w:val="0"/>
          <w:color w:val="1F2933"/>
        </w:rPr>
        <w:t>Organisation, user, service and device identity; MFA; certificate-based device authentication.</w:t>
      </w:r>
    </w:p>
    <w:p>
      <w:pPr>
        <w:jc w:val="left"/>
        <w:numPr>
          <w:ilvl w:val="0"/>
          <w:numId w:val="10"/>
        </w:numPr>
      </w:pPr>
      <w:r>
        <w:rPr>
          <w:rFonts w:ascii="Calibri" w:hAnsi="Calibri" w:eastAsia="Calibri"/>
          <w:b w:val="0"/>
          <w:color w:val="1F2933"/>
        </w:rPr>
        <w:t>Event broker for alerts and data-product updates; job queue for federated queries.</w:t>
      </w:r>
    </w:p>
    <w:p>
      <w:pPr>
        <w:jc w:val="left"/>
        <w:numPr>
          <w:ilvl w:val="0"/>
          <w:numId w:val="10"/>
        </w:numPr>
      </w:pPr>
      <w:r>
        <w:rPr>
          <w:rFonts w:ascii="Calibri" w:hAnsi="Calibri" w:eastAsia="Calibri"/>
          <w:b w:val="0"/>
          <w:color w:val="1F2933"/>
        </w:rPr>
        <w:t>Schema, terminology and implementation-guide registry.</w:t>
      </w:r>
    </w:p>
    <w:p>
      <w:pPr>
        <w:jc w:val="left"/>
        <w:numPr>
          <w:ilvl w:val="0"/>
          <w:numId w:val="10"/>
        </w:numPr>
      </w:pPr>
      <w:r>
        <w:rPr>
          <w:rFonts w:ascii="Calibri" w:hAnsi="Calibri" w:eastAsia="Calibri"/>
          <w:b w:val="0"/>
          <w:color w:val="1F2933"/>
        </w:rPr>
        <w:t>Consent/legal-basis and data-sharing policy enforcement where personal data is processed.</w:t>
      </w:r>
    </w:p>
    <w:p>
      <w:pPr>
        <w:jc w:val="left"/>
        <w:numPr>
          <w:ilvl w:val="0"/>
          <w:numId w:val="10"/>
        </w:numPr>
      </w:pPr>
      <w:r>
        <w:rPr>
          <w:rFonts w:ascii="Calibri" w:hAnsi="Calibri" w:eastAsia="Calibri"/>
          <w:b w:val="0"/>
          <w:color w:val="1F2933"/>
        </w:rPr>
        <w:t>Immutable security/audit stream and central observability.</w:t>
      </w:r>
    </w:p>
    <w:p>
      <w:pPr>
        <w:pStyle w:val="Heading3"/>
      </w:pPr>
      <w:r>
        <w:rPr>
          <w:rFonts w:ascii="Calibri" w:hAnsi="Calibri" w:eastAsia="Calibri"/>
          <w:b/>
          <w:color w:val="1F4D78"/>
          <w:sz w:val="24"/>
        </w:rPr>
        <w:t>Layer D — National data-product and coordination plane</w:t>
      </w:r>
    </w:p>
    <w:p>
      <w:pPr>
        <w:jc w:val="left"/>
        <w:numPr>
          <w:ilvl w:val="0"/>
          <w:numId w:val="10"/>
        </w:numPr>
      </w:pPr>
      <w:r>
        <w:rPr>
          <w:rFonts w:ascii="Calibri" w:hAnsi="Calibri" w:eastAsia="Calibri"/>
          <w:b w:val="0"/>
          <w:color w:val="1F2933"/>
        </w:rPr>
        <w:t>Federated query orchestrator and aggregate result store.</w:t>
      </w:r>
    </w:p>
    <w:p>
      <w:pPr>
        <w:jc w:val="left"/>
        <w:numPr>
          <w:ilvl w:val="0"/>
          <w:numId w:val="10"/>
        </w:numPr>
      </w:pPr>
      <w:r>
        <w:rPr>
          <w:rFonts w:ascii="Calibri" w:hAnsi="Calibri" w:eastAsia="Calibri"/>
          <w:b w:val="0"/>
          <w:color w:val="1F2933"/>
        </w:rPr>
        <w:t>Cross-sector event store for authorised, minimised alerts and investigations.</w:t>
      </w:r>
    </w:p>
    <w:p>
      <w:pPr>
        <w:jc w:val="left"/>
        <w:numPr>
          <w:ilvl w:val="0"/>
          <w:numId w:val="10"/>
        </w:numPr>
      </w:pPr>
      <w:r>
        <w:rPr>
          <w:rFonts w:ascii="Calibri" w:hAnsi="Calibri" w:eastAsia="Calibri"/>
          <w:b w:val="0"/>
          <w:color w:val="1F2933"/>
        </w:rPr>
        <w:t>KPI snapshot store and programme milestone/evidence store.</w:t>
      </w:r>
    </w:p>
    <w:p>
      <w:pPr>
        <w:jc w:val="left"/>
        <w:numPr>
          <w:ilvl w:val="0"/>
          <w:numId w:val="10"/>
        </w:numPr>
      </w:pPr>
      <w:r>
        <w:rPr>
          <w:rFonts w:ascii="Calibri" w:hAnsi="Calibri" w:eastAsia="Calibri"/>
          <w:b w:val="0"/>
          <w:color w:val="1F2933"/>
        </w:rPr>
        <w:t>Metadata catalogue, lineage, quality scores and dataset registry.</w:t>
      </w:r>
    </w:p>
    <w:p>
      <w:pPr>
        <w:jc w:val="left"/>
        <w:numPr>
          <w:ilvl w:val="0"/>
          <w:numId w:val="10"/>
        </w:numPr>
      </w:pPr>
      <w:r>
        <w:rPr>
          <w:rFonts w:ascii="Calibri" w:hAnsi="Calibri" w:eastAsia="Calibri"/>
          <w:b w:val="0"/>
          <w:color w:val="1F2933"/>
        </w:rPr>
        <w:t>Analytics warehouse/lakehouse for approved de-identified or aggregated products.</w:t>
      </w:r>
    </w:p>
    <w:p>
      <w:pPr>
        <w:jc w:val="left"/>
        <w:numPr>
          <w:ilvl w:val="0"/>
          <w:numId w:val="10"/>
        </w:numPr>
      </w:pPr>
      <w:r>
        <w:rPr>
          <w:rFonts w:ascii="Calibri" w:hAnsi="Calibri" w:eastAsia="Calibri"/>
          <w:b w:val="0"/>
          <w:color w:val="1F2933"/>
        </w:rPr>
        <w:t>Alert/risk engine, case management, action plans, SLA and escalation.</w:t>
      </w:r>
    </w:p>
    <w:p>
      <w:pPr>
        <w:jc w:val="left"/>
        <w:numPr>
          <w:ilvl w:val="0"/>
          <w:numId w:val="10"/>
        </w:numPr>
      </w:pPr>
      <w:r>
        <w:rPr>
          <w:rFonts w:ascii="Calibri" w:hAnsi="Calibri" w:eastAsia="Calibri"/>
          <w:b w:val="0"/>
          <w:color w:val="1F2933"/>
        </w:rPr>
        <w:t>National, State/UT, district, facility, researcher and public portals.</w:t>
      </w:r>
    </w:p>
    <w:p>
      <w:pPr>
        <w:jc w:val="left"/>
        <w:numPr>
          <w:ilvl w:val="0"/>
          <w:numId w:val="10"/>
        </w:numPr>
      </w:pPr>
      <w:r>
        <w:rPr>
          <w:rFonts w:ascii="Calibri" w:hAnsi="Calibri" w:eastAsia="Calibri"/>
          <w:b w:val="0"/>
          <w:color w:val="1F2933"/>
        </w:rPr>
        <w:t>Submission services for GLASS, ANIMUSE, InFARM and authorised national reports.</w:t>
      </w:r>
    </w:p>
    <w:p>
      <w:pPr>
        <w:pStyle w:val="Heading3"/>
      </w:pPr>
      <w:r>
        <w:rPr>
          <w:rFonts w:ascii="Calibri" w:hAnsi="Calibri" w:eastAsia="Calibri"/>
          <w:b/>
          <w:color w:val="1F4D78"/>
          <w:sz w:val="24"/>
        </w:rPr>
        <w:t>Layer E — Knowledge and decision support</w:t>
      </w:r>
    </w:p>
    <w:p>
      <w:pPr>
        <w:jc w:val="left"/>
        <w:numPr>
          <w:ilvl w:val="0"/>
          <w:numId w:val="10"/>
        </w:numPr>
      </w:pPr>
      <w:r>
        <w:rPr>
          <w:rFonts w:ascii="Calibri" w:hAnsi="Calibri" w:eastAsia="Calibri"/>
          <w:b w:val="0"/>
          <w:color w:val="1F2933"/>
        </w:rPr>
        <w:t>Versioned guidelines, breakpoints, SOPs, playbooks and standard treatment guidance.</w:t>
      </w:r>
    </w:p>
    <w:p>
      <w:pPr>
        <w:jc w:val="left"/>
        <w:numPr>
          <w:ilvl w:val="0"/>
          <w:numId w:val="10"/>
        </w:numPr>
      </w:pPr>
      <w:r>
        <w:rPr>
          <w:rFonts w:ascii="Calibri" w:hAnsi="Calibri" w:eastAsia="Calibri"/>
          <w:b w:val="0"/>
          <w:color w:val="1F2933"/>
        </w:rPr>
        <w:t>Reproducible statistical pipelines and validated forecasting services.</w:t>
      </w:r>
    </w:p>
    <w:p>
      <w:pPr>
        <w:jc w:val="left"/>
        <w:numPr>
          <w:ilvl w:val="0"/>
          <w:numId w:val="10"/>
        </w:numPr>
      </w:pPr>
      <w:r>
        <w:rPr>
          <w:rFonts w:ascii="Calibri" w:hAnsi="Calibri" w:eastAsia="Calibri"/>
          <w:b w:val="0"/>
          <w:color w:val="1F2933"/>
        </w:rPr>
        <w:t>Secure research workspaces with disclosure review.</w:t>
      </w:r>
    </w:p>
    <w:p>
      <w:pPr>
        <w:jc w:val="left"/>
        <w:numPr>
          <w:ilvl w:val="0"/>
          <w:numId w:val="10"/>
        </w:numPr>
      </w:pPr>
      <w:r>
        <w:rPr>
          <w:rFonts w:ascii="Calibri" w:hAnsi="Calibri" w:eastAsia="Calibri"/>
          <w:b w:val="0"/>
          <w:color w:val="1F2933"/>
        </w:rPr>
        <w:t>Training, competency, EQA and certification registries.</w:t>
      </w:r>
    </w:p>
    <w:p>
      <w:pPr>
        <w:pStyle w:val="Heading2"/>
      </w:pPr>
      <w:r>
        <w:rPr>
          <w:rFonts w:ascii="Calibri" w:hAnsi="Calibri" w:eastAsia="Calibri"/>
          <w:b/>
          <w:color w:val="2E74B5"/>
          <w:sz w:val="26"/>
        </w:rPr>
        <w:t>5.2 Data zones</w:t>
      </w:r>
    </w:p>
    <w:tbl>
      <w:tblPr>
        <w:tblW w:type="dxa" w:w="9360"/>
        <w:jc w:val="left"/>
        <w:tblLayout w:type="fixed"/>
        <w:tblLook w:firstColumn="1" w:firstRow="1" w:lastColumn="0" w:lastRow="0" w:noHBand="0" w:noVBand="1" w:val="04A0"/>
        <w:tblInd w:w="120" w:type="dxa"/>
        <w:tblBorders>
          <w:top w:val="single" w:sz="6" w:space="0" w:color="D9E1E8"/>
          <w:left w:val="single" w:sz="6" w:space="0" w:color="D9E1E8"/>
          <w:bottom w:val="single" w:sz="6" w:space="0" w:color="D9E1E8"/>
          <w:right w:val="single" w:sz="6" w:space="0" w:color="D9E1E8"/>
          <w:insideH w:val="single" w:sz="6" w:space="0" w:color="D9E1E8"/>
          <w:insideV w:val="single" w:sz="6" w:space="0" w:color="D9E1E8"/>
        </w:tblBorders>
      </w:tblPr>
      <w:tblGrid>
        <w:gridCol w:w="1200"/>
        <w:gridCol w:w="2450"/>
        <w:gridCol w:w="3000"/>
        <w:gridCol w:w="2710"/>
      </w:tblGrid>
      <w:tr>
        <w:trPr>
          <w:tblHeader w:val="true"/>
          <w:cantSplit w:val="true"/>
        </w:trPr>
        <w:tc>
          <w:tcPr>
            <w:tcW w:type="dxa" w:w="1200"/>
            <w:tcMar>
              <w:top w:w="90" w:type="dxa"/>
              <w:start w:w="120" w:type="dxa"/>
              <w:bottom w:w="90" w:type="dxa"/>
              <w:end w:w="120" w:type="dxa"/>
            </w:tcMar>
            <w:vAlign w:val="center"/>
            <w:shd w:fill="17365D"/>
          </w:tcPr>
          <w:p>
            <w:pPr>
              <w:pStyle w:val="TableText"/>
              <w:jc w:val="left"/>
            </w:pPr>
            <w:r>
              <w:rPr>
                <w:rFonts w:ascii="Calibri" w:hAnsi="Calibri" w:eastAsia="Calibri"/>
                <w:b/>
                <w:color w:val="FFFFFF"/>
                <w:sz w:val="18"/>
              </w:rPr>
              <w:t>Zone</w:t>
            </w:r>
          </w:p>
        </w:tc>
        <w:tc>
          <w:tcPr>
            <w:tcW w:type="dxa" w:w="2450"/>
            <w:tcMar>
              <w:top w:w="90" w:type="dxa"/>
              <w:start w:w="120" w:type="dxa"/>
              <w:bottom w:w="90" w:type="dxa"/>
              <w:end w:w="120" w:type="dxa"/>
            </w:tcMar>
            <w:vAlign w:val="center"/>
            <w:shd w:fill="17365D"/>
          </w:tcPr>
          <w:p>
            <w:pPr>
              <w:pStyle w:val="TableText"/>
              <w:jc w:val="left"/>
            </w:pPr>
            <w:r>
              <w:rPr>
                <w:rFonts w:ascii="Calibri" w:hAnsi="Calibri" w:eastAsia="Calibri"/>
                <w:b/>
                <w:color w:val="FFFFFF"/>
                <w:sz w:val="18"/>
              </w:rPr>
              <w:t>Permitted content</w:t>
            </w:r>
          </w:p>
        </w:tc>
        <w:tc>
          <w:tcPr>
            <w:tcW w:type="dxa" w:w="3000"/>
            <w:tcMar>
              <w:top w:w="90" w:type="dxa"/>
              <w:start w:w="120" w:type="dxa"/>
              <w:bottom w:w="90" w:type="dxa"/>
              <w:end w:w="120" w:type="dxa"/>
            </w:tcMar>
            <w:vAlign w:val="center"/>
            <w:shd w:fill="17365D"/>
          </w:tcPr>
          <w:p>
            <w:pPr>
              <w:pStyle w:val="TableText"/>
              <w:jc w:val="left"/>
            </w:pPr>
            <w:r>
              <w:rPr>
                <w:rFonts w:ascii="Calibri" w:hAnsi="Calibri" w:eastAsia="Calibri"/>
                <w:b/>
                <w:color w:val="FFFFFF"/>
                <w:sz w:val="18"/>
              </w:rPr>
              <w:t>Typical location</w:t>
            </w:r>
          </w:p>
        </w:tc>
        <w:tc>
          <w:tcPr>
            <w:tcW w:type="dxa" w:w="2710"/>
            <w:tcMar>
              <w:top w:w="90" w:type="dxa"/>
              <w:start w:w="120" w:type="dxa"/>
              <w:bottom w:w="90" w:type="dxa"/>
              <w:end w:w="120" w:type="dxa"/>
            </w:tcMar>
            <w:vAlign w:val="center"/>
            <w:shd w:fill="17365D"/>
          </w:tcPr>
          <w:p>
            <w:pPr>
              <w:pStyle w:val="TableText"/>
              <w:jc w:val="left"/>
            </w:pPr>
            <w:r>
              <w:rPr>
                <w:rFonts w:ascii="Calibri" w:hAnsi="Calibri" w:eastAsia="Calibri"/>
                <w:b/>
                <w:color w:val="FFFFFF"/>
                <w:sz w:val="18"/>
              </w:rPr>
              <w:t>Access model</w:t>
            </w:r>
          </w:p>
        </w:tc>
      </w:tr>
      <w:tr>
        <w:trPr>
          <w:cantSplit w:val="true"/>
        </w:trPr>
        <w:tc>
          <w:tcPr>
            <w:tcW w:type="dxa" w:w="1200"/>
            <w:tcMar>
              <w:top w:w="90" w:type="dxa"/>
              <w:start w:w="120" w:type="dxa"/>
              <w:bottom w:w="90" w:type="dxa"/>
              <w:end w:w="120" w:type="dxa"/>
            </w:tcMar>
            <w:vAlign w:val="center"/>
          </w:tcPr>
          <w:p>
            <w:pPr>
              <w:pStyle w:val="TableText"/>
              <w:jc w:val="left"/>
            </w:pPr>
            <w:r>
              <w:rPr>
                <w:rFonts w:ascii="Calibri" w:hAnsi="Calibri" w:eastAsia="Calibri"/>
                <w:b w:val="0"/>
                <w:color w:val="1F2933"/>
                <w:sz w:val="18"/>
              </w:rPr>
              <w:t>Z0 Operational identifiable</w:t>
            </w:r>
          </w:p>
        </w:tc>
        <w:tc>
          <w:tcPr>
            <w:tcW w:type="dxa" w:w="2450"/>
            <w:tcMar>
              <w:top w:w="90" w:type="dxa"/>
              <w:start w:w="120" w:type="dxa"/>
              <w:bottom w:w="90" w:type="dxa"/>
              <w:end w:w="120" w:type="dxa"/>
            </w:tcMar>
            <w:vAlign w:val="center"/>
          </w:tcPr>
          <w:p>
            <w:pPr>
              <w:pStyle w:val="TableText"/>
              <w:jc w:val="left"/>
            </w:pPr>
            <w:r>
              <w:rPr>
                <w:rFonts w:ascii="Calibri" w:hAnsi="Calibri" w:eastAsia="Calibri"/>
                <w:b w:val="0"/>
                <w:color w:val="1F2933"/>
                <w:sz w:val="18"/>
              </w:rPr>
              <w:t>Patient, animal owner, farm or facility operational record where legally required</w:t>
            </w:r>
          </w:p>
        </w:tc>
        <w:tc>
          <w:tcPr>
            <w:tcW w:type="dxa" w:w="3000"/>
            <w:tcMar>
              <w:top w:w="90" w:type="dxa"/>
              <w:start w:w="120" w:type="dxa"/>
              <w:bottom w:w="90" w:type="dxa"/>
              <w:end w:w="120" w:type="dxa"/>
            </w:tcMar>
            <w:vAlign w:val="center"/>
          </w:tcPr>
          <w:p>
            <w:pPr>
              <w:pStyle w:val="TableText"/>
              <w:jc w:val="left"/>
            </w:pPr>
            <w:r>
              <w:rPr>
                <w:rFonts w:ascii="Calibri" w:hAnsi="Calibri" w:eastAsia="Calibri"/>
                <w:b w:val="0"/>
                <w:color w:val="1F2933"/>
                <w:sz w:val="18"/>
              </w:rPr>
              <w:t>Source facility/sector system</w:t>
            </w:r>
          </w:p>
        </w:tc>
        <w:tc>
          <w:tcPr>
            <w:tcW w:type="dxa" w:w="2710"/>
            <w:tcMar>
              <w:top w:w="90" w:type="dxa"/>
              <w:start w:w="120" w:type="dxa"/>
              <w:bottom w:w="90" w:type="dxa"/>
              <w:end w:w="120" w:type="dxa"/>
            </w:tcMar>
            <w:vAlign w:val="center"/>
          </w:tcPr>
          <w:p>
            <w:pPr>
              <w:pStyle w:val="TableText"/>
              <w:jc w:val="left"/>
            </w:pPr>
            <w:r>
              <w:rPr>
                <w:rFonts w:ascii="Calibri" w:hAnsi="Calibri" w:eastAsia="Calibri"/>
                <w:b w:val="0"/>
                <w:color w:val="1F2933"/>
                <w:sz w:val="18"/>
              </w:rPr>
              <w:t>Direct care/authorised operations only</w:t>
            </w:r>
          </w:p>
        </w:tc>
      </w:tr>
      <w:tr>
        <w:trPr>
          <w:cantSplit w:val="true"/>
        </w:trPr>
        <w:tc>
          <w:tcPr>
            <w:tcW w:type="dxa" w:w="1200"/>
            <w:tcMar>
              <w:top w:w="90" w:type="dxa"/>
              <w:start w:w="120" w:type="dxa"/>
              <w:bottom w:w="90" w:type="dxa"/>
              <w:end w:w="120" w:type="dxa"/>
            </w:tcMar>
            <w:vAlign w:val="center"/>
            <w:shd w:fill="F4F6F9"/>
          </w:tcPr>
          <w:p>
            <w:pPr>
              <w:pStyle w:val="TableText"/>
              <w:jc w:val="left"/>
            </w:pPr>
            <w:r>
              <w:rPr>
                <w:rFonts w:ascii="Calibri" w:hAnsi="Calibri" w:eastAsia="Calibri"/>
                <w:b w:val="0"/>
                <w:color w:val="1F2933"/>
                <w:sz w:val="18"/>
              </w:rPr>
              <w:t>Z1 Pseudonymised analytic</w:t>
            </w:r>
          </w:p>
        </w:tc>
        <w:tc>
          <w:tcPr>
            <w:tcW w:type="dxa" w:w="2450"/>
            <w:tcMar>
              <w:top w:w="90" w:type="dxa"/>
              <w:start w:w="120" w:type="dxa"/>
              <w:bottom w:w="90" w:type="dxa"/>
              <w:end w:w="120" w:type="dxa"/>
            </w:tcMar>
            <w:vAlign w:val="center"/>
            <w:shd w:fill="F4F6F9"/>
          </w:tcPr>
          <w:p>
            <w:pPr>
              <w:pStyle w:val="TableText"/>
              <w:jc w:val="left"/>
            </w:pPr>
            <w:r>
              <w:rPr>
                <w:rFonts w:ascii="Calibri" w:hAnsi="Calibri" w:eastAsia="Calibri"/>
                <w:b w:val="0"/>
                <w:color w:val="1F2933"/>
                <w:sz w:val="18"/>
              </w:rPr>
              <w:t>Linkable records stripped of direct identifiers</w:t>
            </w:r>
          </w:p>
        </w:tc>
        <w:tc>
          <w:tcPr>
            <w:tcW w:type="dxa" w:w="3000"/>
            <w:tcMar>
              <w:top w:w="90" w:type="dxa"/>
              <w:start w:w="120" w:type="dxa"/>
              <w:bottom w:w="90" w:type="dxa"/>
              <w:end w:w="120" w:type="dxa"/>
            </w:tcMar>
            <w:vAlign w:val="center"/>
            <w:shd w:fill="F4F6F9"/>
          </w:tcPr>
          <w:p>
            <w:pPr>
              <w:pStyle w:val="TableText"/>
              <w:jc w:val="left"/>
            </w:pPr>
            <w:r>
              <w:rPr>
                <w:rFonts w:ascii="Calibri" w:hAnsi="Calibri" w:eastAsia="Calibri"/>
                <w:b w:val="0"/>
                <w:color w:val="1F2933"/>
                <w:sz w:val="18"/>
              </w:rPr>
              <w:t>State/sector trusted environment or approved secure enclave</w:t>
            </w:r>
          </w:p>
        </w:tc>
        <w:tc>
          <w:tcPr>
            <w:tcW w:type="dxa" w:w="2710"/>
            <w:tcMar>
              <w:top w:w="90" w:type="dxa"/>
              <w:start w:w="120" w:type="dxa"/>
              <w:bottom w:w="90" w:type="dxa"/>
              <w:end w:w="120" w:type="dxa"/>
            </w:tcMar>
            <w:vAlign w:val="center"/>
            <w:shd w:fill="F4F6F9"/>
          </w:tcPr>
          <w:p>
            <w:pPr>
              <w:pStyle w:val="TableText"/>
              <w:jc w:val="left"/>
            </w:pPr>
            <w:r>
              <w:rPr>
                <w:rFonts w:ascii="Calibri" w:hAnsi="Calibri" w:eastAsia="Calibri"/>
                <w:b w:val="0"/>
                <w:color w:val="1F2933"/>
                <w:sz w:val="18"/>
              </w:rPr>
              <w:t>Named project, time-limited access</w:t>
            </w:r>
          </w:p>
        </w:tc>
      </w:tr>
      <w:tr>
        <w:trPr>
          <w:cantSplit w:val="true"/>
        </w:trPr>
        <w:tc>
          <w:tcPr>
            <w:tcW w:type="dxa" w:w="1200"/>
            <w:tcMar>
              <w:top w:w="90" w:type="dxa"/>
              <w:start w:w="120" w:type="dxa"/>
              <w:bottom w:w="90" w:type="dxa"/>
              <w:end w:w="120" w:type="dxa"/>
            </w:tcMar>
            <w:vAlign w:val="center"/>
          </w:tcPr>
          <w:p>
            <w:pPr>
              <w:pStyle w:val="TableText"/>
              <w:jc w:val="left"/>
            </w:pPr>
            <w:r>
              <w:rPr>
                <w:rFonts w:ascii="Calibri" w:hAnsi="Calibri" w:eastAsia="Calibri"/>
                <w:b w:val="0"/>
                <w:color w:val="1F2933"/>
                <w:sz w:val="18"/>
              </w:rPr>
              <w:t>Z2 De-identified event</w:t>
            </w:r>
          </w:p>
        </w:tc>
        <w:tc>
          <w:tcPr>
            <w:tcW w:type="dxa" w:w="2450"/>
            <w:tcMar>
              <w:top w:w="90" w:type="dxa"/>
              <w:start w:w="120" w:type="dxa"/>
              <w:bottom w:w="90" w:type="dxa"/>
              <w:end w:w="120" w:type="dxa"/>
            </w:tcMar>
            <w:vAlign w:val="center"/>
          </w:tcPr>
          <w:p>
            <w:pPr>
              <w:pStyle w:val="TableText"/>
              <w:jc w:val="left"/>
            </w:pPr>
            <w:r>
              <w:rPr>
                <w:rFonts w:ascii="Calibri" w:hAnsi="Calibri" w:eastAsia="Calibri"/>
                <w:b w:val="0"/>
                <w:color w:val="1F2933"/>
                <w:sz w:val="18"/>
              </w:rPr>
              <w:t>Minimised unusual-event or investigation record</w:t>
            </w:r>
          </w:p>
        </w:tc>
        <w:tc>
          <w:tcPr>
            <w:tcW w:type="dxa" w:w="3000"/>
            <w:tcMar>
              <w:top w:w="90" w:type="dxa"/>
              <w:start w:w="120" w:type="dxa"/>
              <w:bottom w:w="90" w:type="dxa"/>
              <w:end w:w="120" w:type="dxa"/>
            </w:tcMar>
            <w:vAlign w:val="center"/>
          </w:tcPr>
          <w:p>
            <w:pPr>
              <w:pStyle w:val="TableText"/>
              <w:jc w:val="left"/>
            </w:pPr>
            <w:r>
              <w:rPr>
                <w:rFonts w:ascii="Calibri" w:hAnsi="Calibri" w:eastAsia="Calibri"/>
                <w:b w:val="0"/>
                <w:color w:val="1F2933"/>
                <w:sz w:val="18"/>
              </w:rPr>
              <w:t>State/national event service</w:t>
            </w:r>
          </w:p>
        </w:tc>
        <w:tc>
          <w:tcPr>
            <w:tcW w:type="dxa" w:w="2710"/>
            <w:tcMar>
              <w:top w:w="90" w:type="dxa"/>
              <w:start w:w="120" w:type="dxa"/>
              <w:bottom w:w="90" w:type="dxa"/>
              <w:end w:w="120" w:type="dxa"/>
            </w:tcMar>
            <w:vAlign w:val="center"/>
          </w:tcPr>
          <w:p>
            <w:pPr>
              <w:pStyle w:val="TableText"/>
              <w:jc w:val="left"/>
            </w:pPr>
            <w:r>
              <w:rPr>
                <w:rFonts w:ascii="Calibri" w:hAnsi="Calibri" w:eastAsia="Calibri"/>
                <w:b w:val="0"/>
                <w:color w:val="1F2933"/>
                <w:sz w:val="18"/>
              </w:rPr>
              <w:t>Role- and purpose-scoped</w:t>
            </w:r>
          </w:p>
        </w:tc>
      </w:tr>
      <w:tr>
        <w:trPr>
          <w:cantSplit w:val="true"/>
        </w:trPr>
        <w:tc>
          <w:tcPr>
            <w:tcW w:type="dxa" w:w="1200"/>
            <w:tcMar>
              <w:top w:w="90" w:type="dxa"/>
              <w:start w:w="120" w:type="dxa"/>
              <w:bottom w:w="90" w:type="dxa"/>
              <w:end w:w="120" w:type="dxa"/>
            </w:tcMar>
            <w:vAlign w:val="center"/>
            <w:shd w:fill="F4F6F9"/>
          </w:tcPr>
          <w:p>
            <w:pPr>
              <w:pStyle w:val="TableText"/>
              <w:jc w:val="left"/>
            </w:pPr>
            <w:r>
              <w:rPr>
                <w:rFonts w:ascii="Calibri" w:hAnsi="Calibri" w:eastAsia="Calibri"/>
                <w:b w:val="0"/>
                <w:color w:val="1F2933"/>
                <w:sz w:val="18"/>
              </w:rPr>
              <w:t>Z3 Aggregate confidential</w:t>
            </w:r>
          </w:p>
        </w:tc>
        <w:tc>
          <w:tcPr>
            <w:tcW w:type="dxa" w:w="2450"/>
            <w:tcMar>
              <w:top w:w="90" w:type="dxa"/>
              <w:start w:w="120" w:type="dxa"/>
              <w:bottom w:w="90" w:type="dxa"/>
              <w:end w:w="120" w:type="dxa"/>
            </w:tcMar>
            <w:vAlign w:val="center"/>
            <w:shd w:fill="F4F6F9"/>
          </w:tcPr>
          <w:p>
            <w:pPr>
              <w:pStyle w:val="TableText"/>
              <w:jc w:val="left"/>
            </w:pPr>
            <w:r>
              <w:rPr>
                <w:rFonts w:ascii="Calibri" w:hAnsi="Calibri" w:eastAsia="Calibri"/>
                <w:b w:val="0"/>
                <w:color w:val="1F2933"/>
                <w:sz w:val="18"/>
              </w:rPr>
              <w:t>Counts, rates, denominators, quality, uncertainty, small-cell suppressed</w:t>
            </w:r>
          </w:p>
        </w:tc>
        <w:tc>
          <w:tcPr>
            <w:tcW w:type="dxa" w:w="3000"/>
            <w:tcMar>
              <w:top w:w="90" w:type="dxa"/>
              <w:start w:w="120" w:type="dxa"/>
              <w:bottom w:w="90" w:type="dxa"/>
              <w:end w:w="120" w:type="dxa"/>
            </w:tcMar>
            <w:vAlign w:val="center"/>
            <w:shd w:fill="F4F6F9"/>
          </w:tcPr>
          <w:p>
            <w:pPr>
              <w:pStyle w:val="TableText"/>
              <w:jc w:val="left"/>
            </w:pPr>
            <w:r>
              <w:rPr>
                <w:rFonts w:ascii="Calibri" w:hAnsi="Calibri" w:eastAsia="Calibri"/>
                <w:b w:val="0"/>
                <w:color w:val="1F2933"/>
                <w:sz w:val="18"/>
              </w:rPr>
              <w:t>National and State analytic stores</w:t>
            </w:r>
          </w:p>
        </w:tc>
        <w:tc>
          <w:tcPr>
            <w:tcW w:type="dxa" w:w="2710"/>
            <w:tcMar>
              <w:top w:w="90" w:type="dxa"/>
              <w:start w:w="120" w:type="dxa"/>
              <w:bottom w:w="90" w:type="dxa"/>
              <w:end w:w="120" w:type="dxa"/>
            </w:tcMar>
            <w:vAlign w:val="center"/>
            <w:shd w:fill="F4F6F9"/>
          </w:tcPr>
          <w:p>
            <w:pPr>
              <w:pStyle w:val="TableText"/>
              <w:jc w:val="left"/>
            </w:pPr>
            <w:r>
              <w:rPr>
                <w:rFonts w:ascii="Calibri" w:hAnsi="Calibri" w:eastAsia="Calibri"/>
                <w:b w:val="0"/>
                <w:color w:val="1F2933"/>
                <w:sz w:val="18"/>
              </w:rPr>
              <w:t>Government/authorised analysts</w:t>
            </w:r>
          </w:p>
        </w:tc>
      </w:tr>
      <w:tr>
        <w:trPr>
          <w:cantSplit w:val="true"/>
        </w:trPr>
        <w:tc>
          <w:tcPr>
            <w:tcW w:type="dxa" w:w="1200"/>
            <w:tcMar>
              <w:top w:w="90" w:type="dxa"/>
              <w:start w:w="120" w:type="dxa"/>
              <w:bottom w:w="90" w:type="dxa"/>
              <w:end w:w="120" w:type="dxa"/>
            </w:tcMar>
            <w:vAlign w:val="center"/>
          </w:tcPr>
          <w:p>
            <w:pPr>
              <w:pStyle w:val="TableText"/>
              <w:jc w:val="left"/>
            </w:pPr>
            <w:r>
              <w:rPr>
                <w:rFonts w:ascii="Calibri" w:hAnsi="Calibri" w:eastAsia="Calibri"/>
                <w:b w:val="0"/>
                <w:color w:val="1F2933"/>
                <w:sz w:val="18"/>
              </w:rPr>
              <w:t>Z4 Public aggregate</w:t>
            </w:r>
          </w:p>
        </w:tc>
        <w:tc>
          <w:tcPr>
            <w:tcW w:type="dxa" w:w="2450"/>
            <w:tcMar>
              <w:top w:w="90" w:type="dxa"/>
              <w:start w:w="120" w:type="dxa"/>
              <w:bottom w:w="90" w:type="dxa"/>
              <w:end w:w="120" w:type="dxa"/>
            </w:tcMar>
            <w:vAlign w:val="center"/>
          </w:tcPr>
          <w:p>
            <w:pPr>
              <w:pStyle w:val="TableText"/>
              <w:jc w:val="left"/>
            </w:pPr>
            <w:r>
              <w:rPr>
                <w:rFonts w:ascii="Calibri" w:hAnsi="Calibri" w:eastAsia="Calibri"/>
                <w:b w:val="0"/>
                <w:color w:val="1F2933"/>
                <w:sz w:val="18"/>
              </w:rPr>
              <w:t>Delayed, coarsened, disclosure-checked indicators</w:t>
            </w:r>
          </w:p>
        </w:tc>
        <w:tc>
          <w:tcPr>
            <w:tcW w:type="dxa" w:w="3000"/>
            <w:tcMar>
              <w:top w:w="90" w:type="dxa"/>
              <w:start w:w="120" w:type="dxa"/>
              <w:bottom w:w="90" w:type="dxa"/>
              <w:end w:w="120" w:type="dxa"/>
            </w:tcMar>
            <w:vAlign w:val="center"/>
          </w:tcPr>
          <w:p>
            <w:pPr>
              <w:pStyle w:val="TableText"/>
              <w:jc w:val="left"/>
            </w:pPr>
            <w:r>
              <w:rPr>
                <w:rFonts w:ascii="Calibri" w:hAnsi="Calibri" w:eastAsia="Calibri"/>
                <w:b w:val="0"/>
                <w:color w:val="1F2933"/>
                <w:sz w:val="18"/>
              </w:rPr>
              <w:t>Public portal/open data</w:t>
            </w:r>
          </w:p>
        </w:tc>
        <w:tc>
          <w:tcPr>
            <w:tcW w:type="dxa" w:w="2710"/>
            <w:tcMar>
              <w:top w:w="90" w:type="dxa"/>
              <w:start w:w="120" w:type="dxa"/>
              <w:bottom w:w="90" w:type="dxa"/>
              <w:end w:w="120" w:type="dxa"/>
            </w:tcMar>
            <w:vAlign w:val="center"/>
          </w:tcPr>
          <w:p>
            <w:pPr>
              <w:pStyle w:val="TableText"/>
              <w:jc w:val="left"/>
            </w:pPr>
            <w:r>
              <w:rPr>
                <w:rFonts w:ascii="Calibri" w:hAnsi="Calibri" w:eastAsia="Calibri"/>
                <w:b w:val="0"/>
                <w:color w:val="1F2933"/>
                <w:sz w:val="18"/>
              </w:rPr>
              <w:t>Public</w:t>
            </w:r>
          </w:p>
        </w:tc>
      </w:tr>
    </w:tbl>
    <w:p>
      <w:pPr>
        <w:spacing w:after="40"/>
      </w:pPr>
    </w:p>
    <w:p>
      <w:r>
        <w:rPr>
          <w:rFonts w:ascii="Calibri" w:hAnsi="Calibri" w:eastAsia="Calibri"/>
          <w:b w:val="0"/>
          <w:color w:val="1F2933"/>
        </w:rPr>
        <w:t>The current AMRIT flow maps well to Z3. National expansion should retain that default while adding carefully governed Z1/Z2 workflows only where necessary.</w:t>
      </w:r>
    </w:p>
    <w:p>
      <w:pPr>
        <w:pStyle w:val="Heading2"/>
      </w:pPr>
      <w:r>
        <w:rPr>
          <w:rFonts w:ascii="Calibri" w:hAnsi="Calibri" w:eastAsia="Calibri"/>
          <w:b/>
          <w:color w:val="2E74B5"/>
          <w:sz w:val="26"/>
        </w:rPr>
        <w:t>5.3 Interoperability profile</w:t>
      </w:r>
    </w:p>
    <w:p>
      <w:r>
        <w:rPr>
          <w:rFonts w:ascii="Calibri" w:hAnsi="Calibri" w:eastAsia="Calibri"/>
          <w:b w:val="0"/>
          <w:color w:val="1F2933"/>
        </w:rPr>
        <w:t xml:space="preserve">The programme must publish a </w:t>
      </w:r>
      <w:r>
        <w:rPr>
          <w:rFonts w:ascii="Calibri" w:hAnsi="Calibri" w:eastAsia="Calibri"/>
          <w:b/>
          <w:color w:val="1F2933"/>
        </w:rPr>
        <w:t>National AMR Interoperability Implementation Guide</w:t>
      </w:r>
      <w:r>
        <w:rPr>
          <w:rFonts w:ascii="Calibri" w:hAnsi="Calibri" w:eastAsia="Calibri"/>
          <w:b w:val="0"/>
          <w:color w:val="1F2933"/>
        </w:rPr>
        <w:t xml:space="preserve"> with conformance tests. Minimum standards include:</w:t>
      </w:r>
    </w:p>
    <w:p>
      <w:pPr>
        <w:jc w:val="left"/>
        <w:numPr>
          <w:ilvl w:val="0"/>
          <w:numId w:val="10"/>
        </w:numPr>
      </w:pPr>
      <w:r>
        <w:rPr>
          <w:rFonts w:ascii="Calibri" w:hAnsi="Calibri" w:eastAsia="Calibri"/>
          <w:b w:val="0"/>
          <w:color w:val="1F2933"/>
        </w:rPr>
        <w:t>FHIR R4 profiles for DiagnosticReport, Observation, Specimen, MedicationRequest/Dispense/Administration, Measure/MeasureReport, Organization, Location, Task, ServiceRequest and Provenance.</w:t>
      </w:r>
    </w:p>
    <w:p>
      <w:pPr>
        <w:jc w:val="left"/>
        <w:numPr>
          <w:ilvl w:val="0"/>
          <w:numId w:val="10"/>
        </w:numPr>
      </w:pPr>
      <w:r>
        <w:rPr>
          <w:rFonts w:ascii="Calibri" w:hAnsi="Calibri" w:eastAsia="Calibri"/>
          <w:b w:val="0"/>
          <w:color w:val="1F2933"/>
        </w:rPr>
        <w:t>WHONET-compatible organism, specimen and antimicrobial representations and export.</w:t>
      </w:r>
    </w:p>
    <w:p>
      <w:pPr>
        <w:jc w:val="left"/>
        <w:numPr>
          <w:ilvl w:val="0"/>
          <w:numId w:val="10"/>
        </w:numPr>
      </w:pPr>
      <w:r>
        <w:rPr>
          <w:rFonts w:ascii="Calibri" w:hAnsi="Calibri" w:eastAsia="Calibri"/>
          <w:b w:val="0"/>
          <w:color w:val="1F2933"/>
        </w:rPr>
        <w:t>HL7 v2 adapters for common LIS/HMIS interfaces during transition.</w:t>
      </w:r>
    </w:p>
    <w:p>
      <w:pPr>
        <w:jc w:val="left"/>
        <w:numPr>
          <w:ilvl w:val="0"/>
          <w:numId w:val="10"/>
        </w:numPr>
      </w:pPr>
      <w:r>
        <w:rPr>
          <w:rFonts w:ascii="Calibri" w:hAnsi="Calibri" w:eastAsia="Calibri"/>
          <w:b w:val="0"/>
          <w:color w:val="1F2933"/>
        </w:rPr>
        <w:t>LOINC for laboratory observations; SNOMED CT for clinical concepts; ICD-10/ICD-11 mappings where required; UCUM for units.</w:t>
      </w:r>
    </w:p>
    <w:p>
      <w:pPr>
        <w:jc w:val="left"/>
        <w:numPr>
          <w:ilvl w:val="0"/>
          <w:numId w:val="10"/>
        </w:numPr>
      </w:pPr>
      <w:r>
        <w:rPr>
          <w:rFonts w:ascii="Calibri" w:hAnsi="Calibri" w:eastAsia="Calibri"/>
          <w:b w:val="0"/>
          <w:color w:val="1F2933"/>
        </w:rPr>
        <w:t>ATC/DDD and WHO AWaRe for human antimicrobial consumption and stewardship.</w:t>
      </w:r>
    </w:p>
    <w:p>
      <w:pPr>
        <w:jc w:val="left"/>
        <w:numPr>
          <w:ilvl w:val="0"/>
          <w:numId w:val="10"/>
        </w:numPr>
      </w:pPr>
      <w:r>
        <w:rPr>
          <w:rFonts w:ascii="Calibri" w:hAnsi="Calibri" w:eastAsia="Calibri"/>
          <w:b w:val="0"/>
          <w:color w:val="1F2933"/>
        </w:rPr>
        <w:t>WOAH/ANIMUSE-aligned antimicrobial classes and biomass/animal population denominators.</w:t>
      </w:r>
    </w:p>
    <w:p>
      <w:pPr>
        <w:jc w:val="left"/>
        <w:numPr>
          <w:ilvl w:val="0"/>
          <w:numId w:val="10"/>
        </w:numPr>
      </w:pPr>
      <w:r>
        <w:rPr>
          <w:rFonts w:ascii="Calibri" w:hAnsi="Calibri" w:eastAsia="Calibri"/>
          <w:b w:val="0"/>
          <w:color w:val="1F2933"/>
        </w:rPr>
        <w:t>FAO InFARM-compatible animal/food AMR structures.</w:t>
      </w:r>
    </w:p>
    <w:p>
      <w:pPr>
        <w:jc w:val="left"/>
        <w:numPr>
          <w:ilvl w:val="0"/>
          <w:numId w:val="10"/>
        </w:numPr>
      </w:pPr>
      <w:r>
        <w:rPr>
          <w:rFonts w:ascii="Calibri" w:hAnsi="Calibri" w:eastAsia="Calibri"/>
          <w:b w:val="0"/>
          <w:color w:val="1F2933"/>
        </w:rPr>
        <w:t>GLASS organism–specimen–antimicrobial combinations and reporting rules.</w:t>
      </w:r>
    </w:p>
    <w:p>
      <w:pPr>
        <w:jc w:val="left"/>
        <w:numPr>
          <w:ilvl w:val="0"/>
          <w:numId w:val="10"/>
        </w:numPr>
      </w:pPr>
      <w:r>
        <w:rPr>
          <w:rFonts w:ascii="Calibri" w:hAnsi="Calibri" w:eastAsia="Calibri"/>
          <w:b w:val="0"/>
          <w:color w:val="1F2933"/>
        </w:rPr>
        <w:t>HFR/HPR identifiers for human facilities and professionals where applicable; State/district/block codes from authoritative government masters.</w:t>
      </w:r>
    </w:p>
    <w:p>
      <w:pPr>
        <w:jc w:val="left"/>
        <w:numPr>
          <w:ilvl w:val="0"/>
          <w:numId w:val="10"/>
        </w:numPr>
      </w:pPr>
      <w:r>
        <w:rPr>
          <w:rFonts w:ascii="Calibri" w:hAnsi="Calibri" w:eastAsia="Calibri"/>
          <w:b w:val="0"/>
          <w:color w:val="1F2933"/>
        </w:rPr>
        <w:t>NDLM or authoritative sector identifiers for livestock/farms where available, with non-identifying surrogate identifiers for surveillance exchange.</w:t>
      </w:r>
    </w:p>
    <w:p>
      <w:pPr>
        <w:jc w:val="left"/>
        <w:numPr>
          <w:ilvl w:val="0"/>
          <w:numId w:val="10"/>
        </w:numPr>
      </w:pPr>
      <w:r>
        <w:rPr>
          <w:rFonts w:ascii="Calibri" w:hAnsi="Calibri" w:eastAsia="Calibri"/>
          <w:b w:val="0"/>
          <w:color w:val="1F2933"/>
        </w:rPr>
        <w:t>Versioned CLSI/EUCAST/ICMR breakpoint metadata and explicit method, standard and year for every interpretation.</w:t>
      </w:r>
    </w:p>
    <w:p>
      <w:pPr>
        <w:pStyle w:val="Heading2"/>
      </w:pPr>
      <w:r>
        <w:rPr>
          <w:rFonts w:ascii="Calibri" w:hAnsi="Calibri" w:eastAsia="Calibri"/>
          <w:b/>
          <w:color w:val="2E74B5"/>
          <w:sz w:val="26"/>
        </w:rPr>
        <w:t>5.4 Canonical minimum event envelope</w:t>
      </w:r>
    </w:p>
    <w:p>
      <w:r>
        <w:rPr>
          <w:rFonts w:ascii="Calibri" w:hAnsi="Calibri" w:eastAsia="Calibri"/>
          <w:b w:val="0"/>
          <w:color w:val="1F2933"/>
        </w:rPr>
        <w:t>Every exchanged batch, aggregate or alert should carry:</w:t>
      </w:r>
    </w:p>
    <w:p>
      <w:pPr>
        <w:jc w:val="left"/>
        <w:numPr>
          <w:ilvl w:val="0"/>
          <w:numId w:val="10"/>
        </w:numPr>
      </w:pPr>
      <w:r>
        <w:rPr>
          <w:rFonts w:ascii="Consolas" w:hAnsi="Consolas" w:eastAsia="Consolas"/>
          <w:color w:val="1F4D78"/>
          <w:sz w:val="20"/>
        </w:rPr>
        <w:t>event_id</w:t>
      </w:r>
      <w:r>
        <w:rPr>
          <w:rFonts w:ascii="Calibri" w:hAnsi="Calibri" w:eastAsia="Calibri"/>
          <w:b w:val="0"/>
          <w:color w:val="1F2933"/>
        </w:rPr>
        <w:t xml:space="preserve">, </w:t>
      </w:r>
      <w:r>
        <w:rPr>
          <w:rFonts w:ascii="Consolas" w:hAnsi="Consolas" w:eastAsia="Consolas"/>
          <w:color w:val="1F4D78"/>
          <w:sz w:val="20"/>
        </w:rPr>
        <w:t>event_type</w:t>
      </w:r>
      <w:r>
        <w:rPr>
          <w:rFonts w:ascii="Calibri" w:hAnsi="Calibri" w:eastAsia="Calibri"/>
          <w:b w:val="0"/>
          <w:color w:val="1F2933"/>
        </w:rPr>
        <w:t xml:space="preserve">, </w:t>
      </w:r>
      <w:r>
        <w:rPr>
          <w:rFonts w:ascii="Consolas" w:hAnsi="Consolas" w:eastAsia="Consolas"/>
          <w:color w:val="1F4D78"/>
          <w:sz w:val="20"/>
        </w:rPr>
        <w:t>schema_version</w:t>
      </w:r>
      <w:r>
        <w:rPr>
          <w:rFonts w:ascii="Calibri" w:hAnsi="Calibri" w:eastAsia="Calibri"/>
          <w:b w:val="0"/>
          <w:color w:val="1F2933"/>
        </w:rPr>
        <w:t xml:space="preserve">, </w:t>
      </w:r>
      <w:r>
        <w:rPr>
          <w:rFonts w:ascii="Consolas" w:hAnsi="Consolas" w:eastAsia="Consolas"/>
          <w:color w:val="1F4D78"/>
          <w:sz w:val="20"/>
        </w:rPr>
        <w:t>source_system</w:t>
      </w:r>
      <w:r>
        <w:rPr>
          <w:rFonts w:ascii="Calibri" w:hAnsi="Calibri" w:eastAsia="Calibri"/>
          <w:b w:val="0"/>
          <w:color w:val="1F2933"/>
        </w:rPr>
        <w:t xml:space="preserve">, </w:t>
      </w:r>
      <w:r>
        <w:rPr>
          <w:rFonts w:ascii="Consolas" w:hAnsi="Consolas" w:eastAsia="Consolas"/>
          <w:color w:val="1F4D78"/>
          <w:sz w:val="20"/>
        </w:rPr>
        <w:t>source_record_version</w:t>
      </w:r>
      <w:r>
        <w:rPr>
          <w:rFonts w:ascii="Calibri" w:hAnsi="Calibri" w:eastAsia="Calibri"/>
          <w:b w:val="0"/>
          <w:color w:val="1F2933"/>
        </w:rPr>
        <w:t>.</w:t>
      </w:r>
    </w:p>
    <w:p>
      <w:pPr>
        <w:jc w:val="left"/>
        <w:numPr>
          <w:ilvl w:val="0"/>
          <w:numId w:val="10"/>
        </w:numPr>
      </w:pPr>
      <w:r>
        <w:rPr>
          <w:rFonts w:ascii="Consolas" w:hAnsi="Consolas" w:eastAsia="Consolas"/>
          <w:color w:val="1F4D78"/>
          <w:sz w:val="20"/>
        </w:rPr>
        <w:t>organisation_id</w:t>
      </w:r>
      <w:r>
        <w:rPr>
          <w:rFonts w:ascii="Calibri" w:hAnsi="Calibri" w:eastAsia="Calibri"/>
          <w:b w:val="0"/>
          <w:color w:val="1F2933"/>
        </w:rPr>
        <w:t xml:space="preserve">, </w:t>
      </w:r>
      <w:r>
        <w:rPr>
          <w:rFonts w:ascii="Consolas" w:hAnsi="Consolas" w:eastAsia="Consolas"/>
          <w:color w:val="1F4D78"/>
          <w:sz w:val="20"/>
        </w:rPr>
        <w:t>facility_id</w:t>
      </w:r>
      <w:r>
        <w:rPr>
          <w:rFonts w:ascii="Calibri" w:hAnsi="Calibri" w:eastAsia="Calibri"/>
          <w:b w:val="0"/>
          <w:color w:val="1F2933"/>
        </w:rPr>
        <w:t xml:space="preserve">, </w:t>
      </w:r>
      <w:r>
        <w:rPr>
          <w:rFonts w:ascii="Consolas" w:hAnsi="Consolas" w:eastAsia="Consolas"/>
          <w:color w:val="1F4D78"/>
          <w:sz w:val="20"/>
        </w:rPr>
        <w:t>sector</w:t>
      </w:r>
      <w:r>
        <w:rPr>
          <w:rFonts w:ascii="Calibri" w:hAnsi="Calibri" w:eastAsia="Calibri"/>
          <w:b w:val="0"/>
          <w:color w:val="1F2933"/>
        </w:rPr>
        <w:t xml:space="preserve">, </w:t>
      </w:r>
      <w:r>
        <w:rPr>
          <w:rFonts w:ascii="Consolas" w:hAnsi="Consolas" w:eastAsia="Consolas"/>
          <w:color w:val="1F4D78"/>
          <w:sz w:val="20"/>
        </w:rPr>
        <w:t>jurisdiction</w:t>
      </w:r>
      <w:r>
        <w:rPr>
          <w:rFonts w:ascii="Calibri" w:hAnsi="Calibri" w:eastAsia="Calibri"/>
          <w:b w:val="0"/>
          <w:color w:val="1F2933"/>
        </w:rPr>
        <w:t xml:space="preserve">, </w:t>
      </w:r>
      <w:r>
        <w:rPr>
          <w:rFonts w:ascii="Consolas" w:hAnsi="Consolas" w:eastAsia="Consolas"/>
          <w:color w:val="1F4D78"/>
          <w:sz w:val="20"/>
        </w:rPr>
        <w:t>reporting_period</w:t>
      </w:r>
      <w:r>
        <w:rPr>
          <w:rFonts w:ascii="Calibri" w:hAnsi="Calibri" w:eastAsia="Calibri"/>
          <w:b w:val="0"/>
          <w:color w:val="1F2933"/>
        </w:rPr>
        <w:t>.</w:t>
      </w:r>
    </w:p>
    <w:p>
      <w:pPr>
        <w:jc w:val="left"/>
        <w:numPr>
          <w:ilvl w:val="0"/>
          <w:numId w:val="10"/>
        </w:numPr>
      </w:pPr>
      <w:r>
        <w:rPr>
          <w:rFonts w:ascii="Consolas" w:hAnsi="Consolas" w:eastAsia="Consolas"/>
          <w:color w:val="1F4D78"/>
          <w:sz w:val="20"/>
        </w:rPr>
        <w:t>created_at</w:t>
      </w:r>
      <w:r>
        <w:rPr>
          <w:rFonts w:ascii="Calibri" w:hAnsi="Calibri" w:eastAsia="Calibri"/>
          <w:b w:val="0"/>
          <w:color w:val="1F2933"/>
        </w:rPr>
        <w:t xml:space="preserve">, </w:t>
      </w:r>
      <w:r>
        <w:rPr>
          <w:rFonts w:ascii="Consolas" w:hAnsi="Consolas" w:eastAsia="Consolas"/>
          <w:color w:val="1F4D78"/>
          <w:sz w:val="20"/>
        </w:rPr>
        <w:t>observed_at</w:t>
      </w:r>
      <w:r>
        <w:rPr>
          <w:rFonts w:ascii="Calibri" w:hAnsi="Calibri" w:eastAsia="Calibri"/>
          <w:b w:val="0"/>
          <w:color w:val="1F2933"/>
        </w:rPr>
        <w:t xml:space="preserve">, </w:t>
      </w:r>
      <w:r>
        <w:rPr>
          <w:rFonts w:ascii="Consolas" w:hAnsi="Consolas" w:eastAsia="Consolas"/>
          <w:color w:val="1F4D78"/>
          <w:sz w:val="20"/>
        </w:rPr>
        <w:t>submitted_at</w:t>
      </w:r>
      <w:r>
        <w:rPr>
          <w:rFonts w:ascii="Calibri" w:hAnsi="Calibri" w:eastAsia="Calibri"/>
          <w:b w:val="0"/>
          <w:color w:val="1F2933"/>
        </w:rPr>
        <w:t xml:space="preserve">, </w:t>
      </w:r>
      <w:r>
        <w:rPr>
          <w:rFonts w:ascii="Consolas" w:hAnsi="Consolas" w:eastAsia="Consolas"/>
          <w:color w:val="1F4D78"/>
          <w:sz w:val="20"/>
        </w:rPr>
        <w:t>received_at</w:t>
      </w:r>
      <w:r>
        <w:rPr>
          <w:rFonts w:ascii="Calibri" w:hAnsi="Calibri" w:eastAsia="Calibri"/>
          <w:b w:val="0"/>
          <w:color w:val="1F2933"/>
        </w:rPr>
        <w:t xml:space="preserve"> in ISO 8601.</w:t>
      </w:r>
    </w:p>
    <w:p>
      <w:pPr>
        <w:jc w:val="left"/>
        <w:numPr>
          <w:ilvl w:val="0"/>
          <w:numId w:val="10"/>
        </w:numPr>
      </w:pPr>
      <w:r>
        <w:rPr>
          <w:rFonts w:ascii="Consolas" w:hAnsi="Consolas" w:eastAsia="Consolas"/>
          <w:color w:val="1F4D78"/>
          <w:sz w:val="20"/>
        </w:rPr>
        <w:t>data_classification</w:t>
      </w:r>
      <w:r>
        <w:rPr>
          <w:rFonts w:ascii="Calibri" w:hAnsi="Calibri" w:eastAsia="Calibri"/>
          <w:b w:val="0"/>
          <w:color w:val="1F2933"/>
        </w:rPr>
        <w:t xml:space="preserve">, </w:t>
      </w:r>
      <w:r>
        <w:rPr>
          <w:rFonts w:ascii="Consolas" w:hAnsi="Consolas" w:eastAsia="Consolas"/>
          <w:color w:val="1F4D78"/>
          <w:sz w:val="20"/>
        </w:rPr>
        <w:t>purpose_code</w:t>
      </w:r>
      <w:r>
        <w:rPr>
          <w:rFonts w:ascii="Calibri" w:hAnsi="Calibri" w:eastAsia="Calibri"/>
          <w:b w:val="0"/>
          <w:color w:val="1F2933"/>
        </w:rPr>
        <w:t xml:space="preserve">, </w:t>
      </w:r>
      <w:r>
        <w:rPr>
          <w:rFonts w:ascii="Consolas" w:hAnsi="Consolas" w:eastAsia="Consolas"/>
          <w:color w:val="1F4D78"/>
          <w:sz w:val="20"/>
        </w:rPr>
        <w:t>legal_basis</w:t>
      </w:r>
      <w:r>
        <w:rPr>
          <w:rFonts w:ascii="Calibri" w:hAnsi="Calibri" w:eastAsia="Calibri"/>
          <w:b w:val="0"/>
          <w:color w:val="1F2933"/>
        </w:rPr>
        <w:t xml:space="preserve">, </w:t>
      </w:r>
      <w:r>
        <w:rPr>
          <w:rFonts w:ascii="Consolas" w:hAnsi="Consolas" w:eastAsia="Consolas"/>
          <w:color w:val="1F4D78"/>
          <w:sz w:val="20"/>
        </w:rPr>
        <w:t>retention_class</w:t>
      </w:r>
      <w:r>
        <w:rPr>
          <w:rFonts w:ascii="Calibri" w:hAnsi="Calibri" w:eastAsia="Calibri"/>
          <w:b w:val="0"/>
          <w:color w:val="1F2933"/>
        </w:rPr>
        <w:t>.</w:t>
      </w:r>
    </w:p>
    <w:p>
      <w:pPr>
        <w:jc w:val="left"/>
        <w:numPr>
          <w:ilvl w:val="0"/>
          <w:numId w:val="10"/>
        </w:numPr>
      </w:pPr>
      <w:r>
        <w:rPr>
          <w:rFonts w:ascii="Consolas" w:hAnsi="Consolas" w:eastAsia="Consolas"/>
          <w:color w:val="1F4D78"/>
          <w:sz w:val="20"/>
        </w:rPr>
        <w:t>terminology_versions</w:t>
      </w:r>
      <w:r>
        <w:rPr>
          <w:rFonts w:ascii="Calibri" w:hAnsi="Calibri" w:eastAsia="Calibri"/>
          <w:b w:val="0"/>
          <w:color w:val="1F2933"/>
        </w:rPr>
        <w:t xml:space="preserve">, </w:t>
      </w:r>
      <w:r>
        <w:rPr>
          <w:rFonts w:ascii="Consolas" w:hAnsi="Consolas" w:eastAsia="Consolas"/>
          <w:color w:val="1F4D78"/>
          <w:sz w:val="20"/>
        </w:rPr>
        <w:t>methodology_version</w:t>
      </w:r>
      <w:r>
        <w:rPr>
          <w:rFonts w:ascii="Calibri" w:hAnsi="Calibri" w:eastAsia="Calibri"/>
          <w:b w:val="0"/>
          <w:color w:val="1F2933"/>
        </w:rPr>
        <w:t xml:space="preserve">, </w:t>
      </w:r>
      <w:r>
        <w:rPr>
          <w:rFonts w:ascii="Consolas" w:hAnsi="Consolas" w:eastAsia="Consolas"/>
          <w:color w:val="1F4D78"/>
          <w:sz w:val="20"/>
        </w:rPr>
        <w:t>software_version</w:t>
      </w:r>
      <w:r>
        <w:rPr>
          <w:rFonts w:ascii="Calibri" w:hAnsi="Calibri" w:eastAsia="Calibri"/>
          <w:b w:val="0"/>
          <w:color w:val="1F2933"/>
        </w:rPr>
        <w:t>.</w:t>
      </w:r>
    </w:p>
    <w:p>
      <w:pPr>
        <w:jc w:val="left"/>
        <w:numPr>
          <w:ilvl w:val="0"/>
          <w:numId w:val="10"/>
        </w:numPr>
      </w:pPr>
      <w:r>
        <w:rPr>
          <w:rFonts w:ascii="Consolas" w:hAnsi="Consolas" w:eastAsia="Consolas"/>
          <w:color w:val="1F4D78"/>
          <w:sz w:val="20"/>
        </w:rPr>
        <w:t>quality_flags</w:t>
      </w:r>
      <w:r>
        <w:rPr>
          <w:rFonts w:ascii="Calibri" w:hAnsi="Calibri" w:eastAsia="Calibri"/>
          <w:b w:val="0"/>
          <w:color w:val="1F2933"/>
        </w:rPr>
        <w:t xml:space="preserve">, </w:t>
      </w:r>
      <w:r>
        <w:rPr>
          <w:rFonts w:ascii="Consolas" w:hAnsi="Consolas" w:eastAsia="Consolas"/>
          <w:color w:val="1F4D78"/>
          <w:sz w:val="20"/>
        </w:rPr>
        <w:t>completeness_score</w:t>
      </w:r>
      <w:r>
        <w:rPr>
          <w:rFonts w:ascii="Calibri" w:hAnsi="Calibri" w:eastAsia="Calibri"/>
          <w:b w:val="0"/>
          <w:color w:val="1F2933"/>
        </w:rPr>
        <w:t xml:space="preserve">, </w:t>
      </w:r>
      <w:r>
        <w:rPr>
          <w:rFonts w:ascii="Consolas" w:hAnsi="Consolas" w:eastAsia="Consolas"/>
          <w:color w:val="1F4D78"/>
          <w:sz w:val="20"/>
        </w:rPr>
        <w:t>validation_status</w:t>
      </w:r>
      <w:r>
        <w:rPr>
          <w:rFonts w:ascii="Calibri" w:hAnsi="Calibri" w:eastAsia="Calibri"/>
          <w:b w:val="0"/>
          <w:color w:val="1F2933"/>
        </w:rPr>
        <w:t>.</w:t>
      </w:r>
    </w:p>
    <w:p>
      <w:pPr>
        <w:jc w:val="left"/>
        <w:numPr>
          <w:ilvl w:val="0"/>
          <w:numId w:val="10"/>
        </w:numPr>
      </w:pPr>
      <w:r>
        <w:rPr>
          <w:rFonts w:ascii="Consolas" w:hAnsi="Consolas" w:eastAsia="Consolas"/>
          <w:color w:val="1F4D78"/>
          <w:sz w:val="20"/>
        </w:rPr>
        <w:t>provenance</w:t>
      </w:r>
      <w:r>
        <w:rPr>
          <w:rFonts w:ascii="Calibri" w:hAnsi="Calibri" w:eastAsia="Calibri"/>
          <w:b w:val="0"/>
          <w:color w:val="1F2933"/>
        </w:rPr>
        <w:t xml:space="preserve">, </w:t>
      </w:r>
      <w:r>
        <w:rPr>
          <w:rFonts w:ascii="Consolas" w:hAnsi="Consolas" w:eastAsia="Consolas"/>
          <w:color w:val="1F4D78"/>
          <w:sz w:val="20"/>
        </w:rPr>
        <w:t>signing_certificate_id</w:t>
      </w:r>
      <w:r>
        <w:rPr>
          <w:rFonts w:ascii="Calibri" w:hAnsi="Calibri" w:eastAsia="Calibri"/>
          <w:b w:val="0"/>
          <w:color w:val="1F2933"/>
        </w:rPr>
        <w:t xml:space="preserve">, </w:t>
      </w:r>
      <w:r>
        <w:rPr>
          <w:rFonts w:ascii="Consolas" w:hAnsi="Consolas" w:eastAsia="Consolas"/>
          <w:color w:val="1F4D78"/>
          <w:sz w:val="20"/>
        </w:rPr>
        <w:t>payload_hash</w:t>
      </w:r>
      <w:r>
        <w:rPr>
          <w:rFonts w:ascii="Calibri" w:hAnsi="Calibri" w:eastAsia="Calibri"/>
          <w:b w:val="0"/>
          <w:color w:val="1F2933"/>
        </w:rPr>
        <w:t xml:space="preserve">, </w:t>
      </w:r>
      <w:r>
        <w:rPr>
          <w:rFonts w:ascii="Consolas" w:hAnsi="Consolas" w:eastAsia="Consolas"/>
          <w:color w:val="1F4D78"/>
          <w:sz w:val="20"/>
        </w:rPr>
        <w:t>correlation_id</w:t>
      </w:r>
      <w:r>
        <w:rPr>
          <w:rFonts w:ascii="Calibri" w:hAnsi="Calibri" w:eastAsia="Calibri"/>
          <w:b w:val="0"/>
          <w:color w:val="1F2933"/>
        </w:rPr>
        <w:t>.</w:t>
      </w:r>
    </w:p>
    <w:p>
      <w:pPr>
        <w:jc w:val="left"/>
        <w:numPr>
          <w:ilvl w:val="0"/>
          <w:numId w:val="10"/>
        </w:numPr>
      </w:pPr>
      <w:r>
        <w:rPr>
          <w:rFonts w:ascii="Calibri" w:hAnsi="Calibri" w:eastAsia="Calibri"/>
          <w:b w:val="0"/>
          <w:color w:val="1F2933"/>
        </w:rPr>
        <w:t>The event-specific payload and disclosure-control outcome.</w:t>
      </w:r>
    </w:p>
    <w:p>
      <w:pPr>
        <w:pStyle w:val="Heading2"/>
      </w:pPr>
      <w:r>
        <w:rPr>
          <w:rFonts w:ascii="Calibri" w:hAnsi="Calibri" w:eastAsia="Calibri"/>
          <w:b/>
          <w:color w:val="2E74B5"/>
          <w:sz w:val="26"/>
        </w:rPr>
        <w:t>5.5 National identifiers and master data</w:t>
      </w:r>
    </w:p>
    <w:p>
      <w:r>
        <w:rPr>
          <w:rFonts w:ascii="Calibri" w:hAnsi="Calibri" w:eastAsia="Calibri"/>
          <w:b w:val="0"/>
          <w:color w:val="1F2933"/>
        </w:rPr>
        <w:t>Establish master-data services for:</w:t>
      </w:r>
    </w:p>
    <w:p>
      <w:pPr>
        <w:jc w:val="left"/>
        <w:numPr>
          <w:ilvl w:val="0"/>
          <w:numId w:val="10"/>
        </w:numPr>
      </w:pPr>
      <w:r>
        <w:rPr>
          <w:rFonts w:ascii="Calibri" w:hAnsi="Calibri" w:eastAsia="Calibri"/>
          <w:b w:val="0"/>
          <w:color w:val="1F2933"/>
        </w:rPr>
        <w:t>Facilities, laboratories, pharmacies, veterinary facilities, food laboratories and environmental laboratories.</w:t>
      </w:r>
    </w:p>
    <w:p>
      <w:pPr>
        <w:jc w:val="left"/>
        <w:numPr>
          <w:ilvl w:val="0"/>
          <w:numId w:val="10"/>
        </w:numPr>
      </w:pPr>
      <w:r>
        <w:rPr>
          <w:rFonts w:ascii="Calibri" w:hAnsi="Calibri" w:eastAsia="Calibri"/>
          <w:b w:val="0"/>
          <w:color w:val="1F2933"/>
        </w:rPr>
        <w:t>Administrative geography and geospatial boundaries.</w:t>
      </w:r>
    </w:p>
    <w:p>
      <w:pPr>
        <w:jc w:val="left"/>
        <w:numPr>
          <w:ilvl w:val="0"/>
          <w:numId w:val="10"/>
        </w:numPr>
      </w:pPr>
      <w:r>
        <w:rPr>
          <w:rFonts w:ascii="Calibri" w:hAnsi="Calibri" w:eastAsia="Calibri"/>
          <w:b w:val="0"/>
          <w:color w:val="1F2933"/>
        </w:rPr>
        <w:t>Organisms, resistance genes, antimicrobials, classes, AWaRe groups and veterinary importance.</w:t>
      </w:r>
    </w:p>
    <w:p>
      <w:pPr>
        <w:jc w:val="left"/>
        <w:numPr>
          <w:ilvl w:val="0"/>
          <w:numId w:val="10"/>
        </w:numPr>
      </w:pPr>
      <w:r>
        <w:rPr>
          <w:rFonts w:ascii="Calibri" w:hAnsi="Calibri" w:eastAsia="Calibri"/>
          <w:b w:val="0"/>
          <w:color w:val="1F2933"/>
        </w:rPr>
        <w:t>Specimens/matrices, host species, production systems, commodities and environmental sample types.</w:t>
      </w:r>
    </w:p>
    <w:p>
      <w:pPr>
        <w:jc w:val="left"/>
        <w:numPr>
          <w:ilvl w:val="0"/>
          <w:numId w:val="10"/>
        </w:numPr>
      </w:pPr>
      <w:r>
        <w:rPr>
          <w:rFonts w:ascii="Calibri" w:hAnsi="Calibri" w:eastAsia="Calibri"/>
          <w:b w:val="0"/>
          <w:color w:val="1F2933"/>
        </w:rPr>
        <w:t>Test methods, panels, instruments, breakpoints, guidelines and quality materials.</w:t>
      </w:r>
    </w:p>
    <w:p>
      <w:pPr>
        <w:jc w:val="left"/>
        <w:numPr>
          <w:ilvl w:val="0"/>
          <w:numId w:val="10"/>
        </w:numPr>
      </w:pPr>
      <w:r>
        <w:rPr>
          <w:rFonts w:ascii="Calibri" w:hAnsi="Calibri" w:eastAsia="Calibri"/>
          <w:b w:val="0"/>
          <w:color w:val="1F2933"/>
        </w:rPr>
        <w:t>Programmes, indicators, action plans, playbooks and reporting organisations.</w:t>
      </w:r>
    </w:p>
    <w:p>
      <w:r>
        <w:rPr>
          <w:rFonts w:ascii="Calibri" w:hAnsi="Calibri" w:eastAsia="Calibri"/>
          <w:b w:val="0"/>
          <w:color w:val="1F2933"/>
        </w:rPr>
        <w:t>Master data must be versioned, signed and distributable offline. The edge app must preserve the version used for every result.</w:t>
      </w:r>
    </w:p>
    <w:p>
      <w:pPr>
        <w:pStyle w:val="Heading1"/>
      </w:pPr>
      <w:r>
        <w:rPr>
          <w:rFonts w:ascii="Calibri" w:hAnsi="Calibri" w:eastAsia="Calibri"/>
          <w:b/>
          <w:color w:val="2E74B5"/>
          <w:sz w:val="32"/>
        </w:rPr>
        <w:t>6. Product portfolio</w:t>
      </w:r>
    </w:p>
    <w:p>
      <w:pPr>
        <w:pStyle w:val="Heading2"/>
      </w:pPr>
      <w:r>
        <w:rPr>
          <w:rFonts w:ascii="Calibri" w:hAnsi="Calibri" w:eastAsia="Calibri"/>
          <w:b/>
          <w:color w:val="2E74B5"/>
          <w:sz w:val="26"/>
        </w:rPr>
        <w:t>6.1 AMRIT Edge 2.0 — common platform</w:t>
      </w:r>
    </w:p>
    <w:p>
      <w:r>
        <w:rPr>
          <w:rFonts w:ascii="Calibri" w:hAnsi="Calibri" w:eastAsia="Calibri"/>
          <w:b w:val="0"/>
          <w:color w:val="1F2933"/>
        </w:rPr>
        <w:t>Refactor the present desktop into a signed, auto-updatable, modular edge platform with shared services:</w:t>
      </w:r>
    </w:p>
    <w:p>
      <w:pPr>
        <w:jc w:val="left"/>
        <w:numPr>
          <w:ilvl w:val="0"/>
          <w:numId w:val="10"/>
        </w:numPr>
      </w:pPr>
      <w:r>
        <w:rPr>
          <w:rFonts w:ascii="Calibri" w:hAnsi="Calibri" w:eastAsia="Calibri"/>
          <w:b w:val="0"/>
          <w:color w:val="1F2933"/>
        </w:rPr>
        <w:t>Local encrypted database and secure backup/restore.</w:t>
      </w:r>
    </w:p>
    <w:p>
      <w:pPr>
        <w:jc w:val="left"/>
        <w:numPr>
          <w:ilvl w:val="0"/>
          <w:numId w:val="10"/>
        </w:numPr>
      </w:pPr>
      <w:r>
        <w:rPr>
          <w:rFonts w:ascii="Calibri" w:hAnsi="Calibri" w:eastAsia="Calibri"/>
          <w:b w:val="0"/>
          <w:color w:val="1F2933"/>
        </w:rPr>
        <w:t>User accounts, roles, inactivity lock and audit trail.</w:t>
      </w:r>
    </w:p>
    <w:p>
      <w:pPr>
        <w:jc w:val="left"/>
        <w:numPr>
          <w:ilvl w:val="0"/>
          <w:numId w:val="10"/>
        </w:numPr>
      </w:pPr>
      <w:r>
        <w:rPr>
          <w:rFonts w:ascii="Calibri" w:hAnsi="Calibri" w:eastAsia="Calibri"/>
          <w:b w:val="0"/>
          <w:color w:val="1F2933"/>
        </w:rPr>
        <w:t>Organisation and facility configuration with authoritative identifiers.</w:t>
      </w:r>
    </w:p>
    <w:p>
      <w:pPr>
        <w:jc w:val="left"/>
        <w:numPr>
          <w:ilvl w:val="0"/>
          <w:numId w:val="10"/>
        </w:numPr>
      </w:pPr>
      <w:r>
        <w:rPr>
          <w:rFonts w:ascii="Calibri" w:hAnsi="Calibri" w:eastAsia="Calibri"/>
          <w:b w:val="0"/>
          <w:color w:val="1F2933"/>
        </w:rPr>
        <w:t>Terminology/breakpoint packages with signed updates and rollback.</w:t>
      </w:r>
    </w:p>
    <w:p>
      <w:pPr>
        <w:jc w:val="left"/>
        <w:numPr>
          <w:ilvl w:val="0"/>
          <w:numId w:val="10"/>
        </w:numPr>
      </w:pPr>
      <w:r>
        <w:rPr>
          <w:rFonts w:ascii="Calibri" w:hAnsi="Calibri" w:eastAsia="Calibri"/>
          <w:b w:val="0"/>
          <w:color w:val="1F2933"/>
        </w:rPr>
        <w:t>Import/mapping studio, validation work queue and correction history.</w:t>
      </w:r>
    </w:p>
    <w:p>
      <w:pPr>
        <w:jc w:val="left"/>
        <w:numPr>
          <w:ilvl w:val="0"/>
          <w:numId w:val="10"/>
        </w:numPr>
      </w:pPr>
      <w:r>
        <w:rPr>
          <w:rFonts w:ascii="Calibri" w:hAnsi="Calibri" w:eastAsia="Calibri"/>
          <w:b w:val="0"/>
          <w:color w:val="1F2933"/>
        </w:rPr>
        <w:t>Offline dashboard and export functions.</w:t>
      </w:r>
    </w:p>
    <w:p>
      <w:pPr>
        <w:jc w:val="left"/>
        <w:numPr>
          <w:ilvl w:val="0"/>
          <w:numId w:val="10"/>
        </w:numPr>
      </w:pPr>
      <w:r>
        <w:rPr>
          <w:rFonts w:ascii="Calibri" w:hAnsi="Calibri" w:eastAsia="Calibri"/>
          <w:b w:val="0"/>
          <w:color w:val="1F2933"/>
        </w:rPr>
        <w:t>Secure sync agent with certificate identity, durable queue and reconciliation.</w:t>
      </w:r>
    </w:p>
    <w:p>
      <w:pPr>
        <w:jc w:val="left"/>
        <w:numPr>
          <w:ilvl w:val="0"/>
          <w:numId w:val="10"/>
        </w:numPr>
      </w:pPr>
      <w:r>
        <w:rPr>
          <w:rFonts w:ascii="Calibri" w:hAnsi="Calibri" w:eastAsia="Calibri"/>
          <w:b w:val="0"/>
          <w:color w:val="1F2933"/>
        </w:rPr>
        <w:t>Plugin/module framework so human, veterinary, food and environment functions share infrastructure without sharing inappropriate forms or rules.</w:t>
      </w:r>
    </w:p>
    <w:p>
      <w:pPr>
        <w:jc w:val="left"/>
        <w:numPr>
          <w:ilvl w:val="0"/>
          <w:numId w:val="10"/>
        </w:numPr>
      </w:pPr>
      <w:r>
        <w:rPr>
          <w:rFonts w:ascii="Calibri" w:hAnsi="Calibri" w:eastAsia="Calibri"/>
          <w:b w:val="0"/>
          <w:color w:val="1F2933"/>
        </w:rPr>
        <w:t>Remote health telemetry that reports software/version/sync health without transmitting sensitive records.</w:t>
      </w:r>
    </w:p>
    <w:p>
      <w:r>
        <w:rPr>
          <w:rFonts w:ascii="Calibri" w:hAnsi="Calibri" w:eastAsia="Calibri"/>
          <w:b w:val="0"/>
          <w:color w:val="1F2933"/>
        </w:rPr>
        <w:t>The current Tkinter code can support pilots, but national maintenance will be easier after a controlled migration to a testable cross-platform architecture with a stable domain layer, structured migrations, automated updates and accessibility/localisation support. This is a planned migration—not a prerequisite for the first pilot.</w:t>
      </w:r>
    </w:p>
    <w:p>
      <w:pPr>
        <w:pStyle w:val="Heading2"/>
      </w:pPr>
      <w:r>
        <w:rPr>
          <w:rFonts w:ascii="Calibri" w:hAnsi="Calibri" w:eastAsia="Calibri"/>
          <w:b/>
          <w:color w:val="2E74B5"/>
          <w:sz w:val="26"/>
        </w:rPr>
        <w:t>6.2 Human laboratory module</w:t>
      </w:r>
    </w:p>
    <w:p>
      <w:pPr>
        <w:jc w:val="left"/>
        <w:numPr>
          <w:ilvl w:val="0"/>
          <w:numId w:val="10"/>
        </w:numPr>
      </w:pPr>
      <w:r>
        <w:rPr>
          <w:rFonts w:ascii="Calibri" w:hAnsi="Calibri" w:eastAsia="Calibri"/>
          <w:b w:val="0"/>
          <w:color w:val="1F2933"/>
        </w:rPr>
        <w:t>Patient/sample/isolate capture or LIS import.</w:t>
      </w:r>
    </w:p>
    <w:p>
      <w:pPr>
        <w:jc w:val="left"/>
        <w:numPr>
          <w:ilvl w:val="0"/>
          <w:numId w:val="10"/>
        </w:numPr>
      </w:pPr>
      <w:r>
        <w:rPr>
          <w:rFonts w:ascii="Calibri" w:hAnsi="Calibri" w:eastAsia="Calibri"/>
          <w:b w:val="0"/>
          <w:color w:val="1F2933"/>
        </w:rPr>
        <w:t>AST method, measurement, interpretation, guideline/version and QC status.</w:t>
      </w:r>
    </w:p>
    <w:p>
      <w:pPr>
        <w:jc w:val="left"/>
        <w:numPr>
          <w:ilvl w:val="0"/>
          <w:numId w:val="10"/>
        </w:numPr>
      </w:pPr>
      <w:r>
        <w:rPr>
          <w:rFonts w:ascii="Calibri" w:hAnsi="Calibri" w:eastAsia="Calibri"/>
          <w:b w:val="0"/>
          <w:color w:val="1F2933"/>
        </w:rPr>
        <w:t>First-isolate, repeat-isolate and contaminant rules.</w:t>
      </w:r>
    </w:p>
    <w:p>
      <w:pPr>
        <w:jc w:val="left"/>
        <w:numPr>
          <w:ilvl w:val="0"/>
          <w:numId w:val="10"/>
        </w:numPr>
      </w:pPr>
      <w:r>
        <w:rPr>
          <w:rFonts w:ascii="Calibri" w:hAnsi="Calibri" w:eastAsia="Calibri"/>
          <w:b w:val="0"/>
          <w:color w:val="1F2933"/>
        </w:rPr>
        <w:t>Local cumulative antibiogram with CLSI M39-style denominator warnings.</w:t>
      </w:r>
    </w:p>
    <w:p>
      <w:pPr>
        <w:jc w:val="left"/>
        <w:numPr>
          <w:ilvl w:val="0"/>
          <w:numId w:val="10"/>
        </w:numPr>
      </w:pPr>
      <w:r>
        <w:rPr>
          <w:rFonts w:ascii="Calibri" w:hAnsi="Calibri" w:eastAsia="Calibri"/>
          <w:b w:val="0"/>
          <w:color w:val="1F2933"/>
        </w:rPr>
        <w:t>Phenotype and emerging-resistance alerts.</w:t>
      </w:r>
    </w:p>
    <w:p>
      <w:pPr>
        <w:jc w:val="left"/>
        <w:numPr>
          <w:ilvl w:val="0"/>
          <w:numId w:val="10"/>
        </w:numPr>
      </w:pPr>
      <w:r>
        <w:rPr>
          <w:rFonts w:ascii="Calibri" w:hAnsi="Calibri" w:eastAsia="Calibri"/>
          <w:b w:val="0"/>
          <w:color w:val="1F2933"/>
        </w:rPr>
        <w:t>Reference-lab referral and confirmatory result reconciliation.</w:t>
      </w:r>
    </w:p>
    <w:p>
      <w:pPr>
        <w:jc w:val="left"/>
        <w:numPr>
          <w:ilvl w:val="0"/>
          <w:numId w:val="10"/>
        </w:numPr>
      </w:pPr>
      <w:r>
        <w:rPr>
          <w:rFonts w:ascii="Calibri" w:hAnsi="Calibri" w:eastAsia="Calibri"/>
          <w:b w:val="0"/>
          <w:color w:val="1F2933"/>
        </w:rPr>
        <w:t>GLASS-compatible export and national federated query support.</w:t>
      </w:r>
    </w:p>
    <w:p>
      <w:pPr>
        <w:jc w:val="left"/>
        <w:numPr>
          <w:ilvl w:val="0"/>
          <w:numId w:val="10"/>
        </w:numPr>
      </w:pPr>
      <w:r>
        <w:rPr>
          <w:rFonts w:ascii="Calibri" w:hAnsi="Calibri" w:eastAsia="Calibri"/>
          <w:b w:val="0"/>
          <w:color w:val="1F2933"/>
        </w:rPr>
        <w:t>Laboratory quality indicators: contamination, turnaround, rejection, missingness, QC/EQA and instrument downtime.</w:t>
      </w:r>
    </w:p>
    <w:p>
      <w:pPr>
        <w:pStyle w:val="Heading2"/>
      </w:pPr>
      <w:r>
        <w:rPr>
          <w:rFonts w:ascii="Calibri" w:hAnsi="Calibri" w:eastAsia="Calibri"/>
          <w:b/>
          <w:color w:val="2E74B5"/>
          <w:sz w:val="26"/>
        </w:rPr>
        <w:t>6.3 Antimicrobial stewardship and consumption module</w:t>
      </w:r>
    </w:p>
    <w:p>
      <w:pPr>
        <w:jc w:val="left"/>
        <w:numPr>
          <w:ilvl w:val="0"/>
          <w:numId w:val="10"/>
        </w:numPr>
      </w:pPr>
      <w:r>
        <w:rPr>
          <w:rFonts w:ascii="Calibri" w:hAnsi="Calibri" w:eastAsia="Calibri"/>
          <w:b w:val="0"/>
          <w:color w:val="1F2933"/>
        </w:rPr>
        <w:t>Pharmacy purchase, issue, dispense and administration feeds.</w:t>
      </w:r>
    </w:p>
    <w:p>
      <w:pPr>
        <w:jc w:val="left"/>
        <w:numPr>
          <w:ilvl w:val="0"/>
          <w:numId w:val="10"/>
        </w:numPr>
      </w:pPr>
      <w:r>
        <w:rPr>
          <w:rFonts w:ascii="Calibri" w:hAnsi="Calibri" w:eastAsia="Calibri"/>
          <w:b w:val="0"/>
          <w:color w:val="1F2933"/>
        </w:rPr>
        <w:t>ATC/DDD metrics: DDD per 100 bed-days, patient-days and 1,000 inhabitants/day as appropriate.</w:t>
      </w:r>
    </w:p>
    <w:p>
      <w:pPr>
        <w:jc w:val="left"/>
        <w:numPr>
          <w:ilvl w:val="0"/>
          <w:numId w:val="10"/>
        </w:numPr>
      </w:pPr>
      <w:r>
        <w:rPr>
          <w:rFonts w:ascii="Calibri" w:hAnsi="Calibri" w:eastAsia="Calibri"/>
          <w:b w:val="0"/>
          <w:color w:val="1F2933"/>
        </w:rPr>
        <w:t>Days of therapy and length of therapy where administration data exist.</w:t>
      </w:r>
    </w:p>
    <w:p>
      <w:pPr>
        <w:jc w:val="left"/>
        <w:numPr>
          <w:ilvl w:val="0"/>
          <w:numId w:val="10"/>
        </w:numPr>
      </w:pPr>
      <w:r>
        <w:rPr>
          <w:rFonts w:ascii="Calibri" w:hAnsi="Calibri" w:eastAsia="Calibri"/>
          <w:b w:val="0"/>
          <w:color w:val="1F2933"/>
        </w:rPr>
        <w:t>AWaRe distribution and Access share.</w:t>
      </w:r>
    </w:p>
    <w:p>
      <w:pPr>
        <w:jc w:val="left"/>
        <w:numPr>
          <w:ilvl w:val="0"/>
          <w:numId w:val="10"/>
        </w:numPr>
      </w:pPr>
      <w:r>
        <w:rPr>
          <w:rFonts w:ascii="Calibri" w:hAnsi="Calibri" w:eastAsia="Calibri"/>
          <w:b w:val="0"/>
          <w:color w:val="1F2933"/>
        </w:rPr>
        <w:t>Indication, empirical/targeted status, culture-before-antibiotic, review/stop date and IV-to-oral switch.</w:t>
      </w:r>
    </w:p>
    <w:p>
      <w:pPr>
        <w:jc w:val="left"/>
        <w:numPr>
          <w:ilvl w:val="0"/>
          <w:numId w:val="10"/>
        </w:numPr>
      </w:pPr>
      <w:r>
        <w:rPr>
          <w:rFonts w:ascii="Calibri" w:hAnsi="Calibri" w:eastAsia="Calibri"/>
          <w:b w:val="0"/>
          <w:color w:val="1F2933"/>
        </w:rPr>
        <w:t>Antibiotic time-out, prospective audit and prescriber feedback.</w:t>
      </w:r>
    </w:p>
    <w:p>
      <w:pPr>
        <w:jc w:val="left"/>
        <w:numPr>
          <w:ilvl w:val="0"/>
          <w:numId w:val="10"/>
        </w:numPr>
      </w:pPr>
      <w:r>
        <w:rPr>
          <w:rFonts w:ascii="Calibri" w:hAnsi="Calibri" w:eastAsia="Calibri"/>
          <w:b w:val="0"/>
          <w:color w:val="1F2933"/>
        </w:rPr>
        <w:t>Facility antibiotic policy, formulary and Reserve authorisation.</w:t>
      </w:r>
    </w:p>
    <w:p>
      <w:pPr>
        <w:jc w:val="left"/>
        <w:numPr>
          <w:ilvl w:val="0"/>
          <w:numId w:val="10"/>
        </w:numPr>
      </w:pPr>
      <w:r>
        <w:rPr>
          <w:rFonts w:ascii="Calibri" w:hAnsi="Calibri" w:eastAsia="Calibri"/>
          <w:b w:val="0"/>
          <w:color w:val="1F2933"/>
        </w:rPr>
        <w:t>Point-prevalence survey workflow for low-digital-maturity facilities.</w:t>
      </w:r>
    </w:p>
    <w:p>
      <w:pPr>
        <w:jc w:val="left"/>
        <w:numPr>
          <w:ilvl w:val="0"/>
          <w:numId w:val="10"/>
        </w:numPr>
      </w:pPr>
      <w:r>
        <w:rPr>
          <w:rFonts w:ascii="Calibri" w:hAnsi="Calibri" w:eastAsia="Calibri"/>
          <w:b w:val="0"/>
          <w:color w:val="1F2933"/>
        </w:rPr>
        <w:t>Community and supply-chain AMC ingestion from authorised sales/distribution sources.</w:t>
      </w:r>
    </w:p>
    <w:p>
      <w:pPr>
        <w:pStyle w:val="Heading2"/>
      </w:pPr>
      <w:r>
        <w:rPr>
          <w:rFonts w:ascii="Calibri" w:hAnsi="Calibri" w:eastAsia="Calibri"/>
          <w:b/>
          <w:color w:val="2E74B5"/>
          <w:sz w:val="26"/>
        </w:rPr>
        <w:t>6.4 IPC and HAI module</w:t>
      </w:r>
    </w:p>
    <w:p>
      <w:pPr>
        <w:jc w:val="left"/>
        <w:numPr>
          <w:ilvl w:val="0"/>
          <w:numId w:val="10"/>
        </w:numPr>
      </w:pPr>
      <w:r>
        <w:rPr>
          <w:rFonts w:ascii="Calibri" w:hAnsi="Calibri" w:eastAsia="Calibri"/>
          <w:b w:val="0"/>
          <w:color w:val="1F2933"/>
        </w:rPr>
        <w:t>Uniform HAI case definitions and investigation forms.</w:t>
      </w:r>
    </w:p>
    <w:p>
      <w:pPr>
        <w:jc w:val="left"/>
        <w:numPr>
          <w:ilvl w:val="0"/>
          <w:numId w:val="10"/>
        </w:numPr>
      </w:pPr>
      <w:r>
        <w:rPr>
          <w:rFonts w:ascii="Calibri" w:hAnsi="Calibri" w:eastAsia="Calibri"/>
          <w:b w:val="0"/>
          <w:color w:val="1F2933"/>
        </w:rPr>
        <w:t>Patient-day, device-day, surgery and procedure denominators.</w:t>
      </w:r>
    </w:p>
    <w:p>
      <w:pPr>
        <w:jc w:val="left"/>
        <w:numPr>
          <w:ilvl w:val="0"/>
          <w:numId w:val="10"/>
        </w:numPr>
      </w:pPr>
      <w:r>
        <w:rPr>
          <w:rFonts w:ascii="Calibri" w:hAnsi="Calibri" w:eastAsia="Calibri"/>
          <w:b w:val="0"/>
          <w:color w:val="1F2933"/>
        </w:rPr>
        <w:t>CLABSI, CAUTI, VAP and SSI surveillance.</w:t>
      </w:r>
    </w:p>
    <w:p>
      <w:pPr>
        <w:jc w:val="left"/>
        <w:numPr>
          <w:ilvl w:val="0"/>
          <w:numId w:val="10"/>
        </w:numPr>
      </w:pPr>
      <w:r>
        <w:rPr>
          <w:rFonts w:ascii="Calibri" w:hAnsi="Calibri" w:eastAsia="Calibri"/>
          <w:b w:val="0"/>
          <w:color w:val="1F2933"/>
        </w:rPr>
        <w:t>Outbreak/cluster detection linked to microbiology and genomics.</w:t>
      </w:r>
    </w:p>
    <w:p>
      <w:pPr>
        <w:jc w:val="left"/>
        <w:numPr>
          <w:ilvl w:val="0"/>
          <w:numId w:val="10"/>
        </w:numPr>
      </w:pPr>
      <w:r>
        <w:rPr>
          <w:rFonts w:ascii="Calibri" w:hAnsi="Calibri" w:eastAsia="Calibri"/>
          <w:b w:val="0"/>
          <w:color w:val="1F2933"/>
        </w:rPr>
        <w:t>IPC self-assessment, hand-hygiene and environmental-cleaning audits.</w:t>
      </w:r>
    </w:p>
    <w:p>
      <w:pPr>
        <w:jc w:val="left"/>
        <w:numPr>
          <w:ilvl w:val="0"/>
          <w:numId w:val="10"/>
        </w:numPr>
      </w:pPr>
      <w:r>
        <w:rPr>
          <w:rFonts w:ascii="Calibri" w:hAnsi="Calibri" w:eastAsia="Calibri"/>
          <w:b w:val="0"/>
          <w:color w:val="1F2933"/>
        </w:rPr>
        <w:t>Action plans, responsible teams, due dates and verification.</w:t>
      </w:r>
    </w:p>
    <w:p>
      <w:pPr>
        <w:jc w:val="left"/>
        <w:numPr>
          <w:ilvl w:val="0"/>
          <w:numId w:val="10"/>
        </w:numPr>
      </w:pPr>
      <w:r>
        <w:rPr>
          <w:rFonts w:ascii="Calibri" w:hAnsi="Calibri" w:eastAsia="Calibri"/>
          <w:b w:val="0"/>
          <w:color w:val="1F2933"/>
        </w:rPr>
        <w:t>De-identified national indicators and facility confidential feedback.</w:t>
      </w:r>
    </w:p>
    <w:p>
      <w:pPr>
        <w:pStyle w:val="Heading2"/>
      </w:pPr>
      <w:r>
        <w:rPr>
          <w:rFonts w:ascii="Calibri" w:hAnsi="Calibri" w:eastAsia="Calibri"/>
          <w:b/>
          <w:color w:val="2E74B5"/>
          <w:sz w:val="26"/>
        </w:rPr>
        <w:t>6.5 Veterinary and fisheries module</w:t>
      </w:r>
    </w:p>
    <w:p>
      <w:pPr>
        <w:jc w:val="left"/>
        <w:numPr>
          <w:ilvl w:val="0"/>
          <w:numId w:val="10"/>
        </w:numPr>
      </w:pPr>
      <w:r>
        <w:rPr>
          <w:rFonts w:ascii="Calibri" w:hAnsi="Calibri" w:eastAsia="Calibri"/>
          <w:b w:val="0"/>
          <w:color w:val="1F2933"/>
        </w:rPr>
        <w:t>Host species, age/production class, herd/flock/pond and production system.</w:t>
      </w:r>
    </w:p>
    <w:p>
      <w:pPr>
        <w:jc w:val="left"/>
        <w:numPr>
          <w:ilvl w:val="0"/>
          <w:numId w:val="10"/>
        </w:numPr>
      </w:pPr>
      <w:r>
        <w:rPr>
          <w:rFonts w:ascii="Calibri" w:hAnsi="Calibri" w:eastAsia="Calibri"/>
          <w:b w:val="0"/>
          <w:color w:val="1F2933"/>
        </w:rPr>
        <w:t>Clinical, healthy-animal, farm and slaughter/market sampling frames.</w:t>
      </w:r>
    </w:p>
    <w:p>
      <w:pPr>
        <w:jc w:val="left"/>
        <w:numPr>
          <w:ilvl w:val="0"/>
          <w:numId w:val="10"/>
        </w:numPr>
      </w:pPr>
      <w:r>
        <w:rPr>
          <w:rFonts w:ascii="Calibri" w:hAnsi="Calibri" w:eastAsia="Calibri"/>
          <w:b w:val="0"/>
          <w:color w:val="1F2933"/>
        </w:rPr>
        <w:t>Sample, isolate, AST, method, breakpoint and quality metadata.</w:t>
      </w:r>
    </w:p>
    <w:p>
      <w:pPr>
        <w:jc w:val="left"/>
        <w:numPr>
          <w:ilvl w:val="0"/>
          <w:numId w:val="10"/>
        </w:numPr>
      </w:pPr>
      <w:r>
        <w:rPr>
          <w:rFonts w:ascii="Calibri" w:hAnsi="Calibri" w:eastAsia="Calibri"/>
          <w:b w:val="0"/>
          <w:color w:val="1F2933"/>
        </w:rPr>
        <w:t>Treatment reason, prescriber, product, active ingredient, dose, duration and route.</w:t>
      </w:r>
    </w:p>
    <w:p>
      <w:pPr>
        <w:jc w:val="left"/>
        <w:numPr>
          <w:ilvl w:val="0"/>
          <w:numId w:val="10"/>
        </w:numPr>
      </w:pPr>
      <w:r>
        <w:rPr>
          <w:rFonts w:ascii="Calibri" w:hAnsi="Calibri" w:eastAsia="Calibri"/>
          <w:b w:val="0"/>
          <w:color w:val="1F2933"/>
        </w:rPr>
        <w:t>Farm/facility biosecurity, vaccination, morbidity, mortality and population denominators.</w:t>
      </w:r>
    </w:p>
    <w:p>
      <w:pPr>
        <w:jc w:val="left"/>
        <w:numPr>
          <w:ilvl w:val="0"/>
          <w:numId w:val="10"/>
        </w:numPr>
      </w:pPr>
      <w:r>
        <w:rPr>
          <w:rFonts w:ascii="Calibri" w:hAnsi="Calibri" w:eastAsia="Calibri"/>
          <w:b w:val="0"/>
          <w:color w:val="1F2933"/>
        </w:rPr>
        <w:t>Sales/consumption and biomass-adjusted indicators aligned to national/WOAH requirements.</w:t>
      </w:r>
    </w:p>
    <w:p>
      <w:pPr>
        <w:jc w:val="left"/>
        <w:numPr>
          <w:ilvl w:val="0"/>
          <w:numId w:val="10"/>
        </w:numPr>
      </w:pPr>
      <w:r>
        <w:rPr>
          <w:rFonts w:ascii="Calibri" w:hAnsi="Calibri" w:eastAsia="Calibri"/>
          <w:b w:val="0"/>
          <w:color w:val="1F2933"/>
        </w:rPr>
        <w:t>Withdrawal-period and residue-related workflow where appropriate.</w:t>
      </w:r>
    </w:p>
    <w:p>
      <w:pPr>
        <w:jc w:val="left"/>
        <w:numPr>
          <w:ilvl w:val="0"/>
          <w:numId w:val="10"/>
        </w:numPr>
      </w:pPr>
      <w:r>
        <w:rPr>
          <w:rFonts w:ascii="Calibri" w:hAnsi="Calibri" w:eastAsia="Calibri"/>
          <w:b w:val="0"/>
          <w:color w:val="1F2933"/>
        </w:rPr>
        <w:t>Separation of regulatory, surveillance and research access.</w:t>
      </w:r>
    </w:p>
    <w:p>
      <w:pPr>
        <w:pStyle w:val="Heading2"/>
      </w:pPr>
      <w:r>
        <w:rPr>
          <w:rFonts w:ascii="Calibri" w:hAnsi="Calibri" w:eastAsia="Calibri"/>
          <w:b/>
          <w:color w:val="2E74B5"/>
          <w:sz w:val="26"/>
        </w:rPr>
        <w:t>6.6 Food and environmental modules</w:t>
      </w:r>
    </w:p>
    <w:p>
      <w:r>
        <w:rPr>
          <w:rFonts w:ascii="Calibri" w:hAnsi="Calibri" w:eastAsia="Calibri"/>
          <w:b/>
          <w:color w:val="1F2933"/>
        </w:rPr>
        <w:t>Food:</w:t>
      </w:r>
      <w:r>
        <w:rPr>
          <w:rFonts w:ascii="Calibri" w:hAnsi="Calibri" w:eastAsia="Calibri"/>
          <w:b w:val="0"/>
          <w:color w:val="1F2933"/>
        </w:rPr>
        <w:t xml:space="preserve"> commodity, production stage, establishment/source category, sampling programme, chain of custody, microbiology, AST, residue analyte, method, limit, result, enforcement action and closure.</w:t>
      </w:r>
    </w:p>
    <w:p>
      <w:r>
        <w:rPr>
          <w:rFonts w:ascii="Calibri" w:hAnsi="Calibri" w:eastAsia="Calibri"/>
          <w:b/>
          <w:color w:val="1F2933"/>
        </w:rPr>
        <w:t>Environment:</w:t>
      </w:r>
      <w:r>
        <w:rPr>
          <w:rFonts w:ascii="Calibri" w:hAnsi="Calibri" w:eastAsia="Calibri"/>
          <w:b w:val="0"/>
          <w:color w:val="1F2933"/>
        </w:rPr>
        <w:t xml:space="preserve"> matrix (influent/effluent/surface water/groundwater/soil/sludge), site type, upstream/downstream relationship, geospatial precision class, sampling protocol, flow/context, antimicrobial residue concentration, culture/AST, resistance genes, method detection limits and regulatory/action status.</w:t>
      </w:r>
    </w:p>
    <w:p>
      <w:r>
        <w:rPr>
          <w:rFonts w:ascii="Calibri" w:hAnsi="Calibri" w:eastAsia="Calibri"/>
          <w:b w:val="0"/>
          <w:color w:val="1F2933"/>
        </w:rPr>
        <w:t>Exact coordinates for sensitive sites should be role-restricted and coarsened for public use.</w:t>
      </w:r>
    </w:p>
    <w:p>
      <w:pPr>
        <w:pStyle w:val="Heading2"/>
      </w:pPr>
      <w:r>
        <w:rPr>
          <w:rFonts w:ascii="Calibri" w:hAnsi="Calibri" w:eastAsia="Calibri"/>
          <w:b/>
          <w:color w:val="2E74B5"/>
          <w:sz w:val="26"/>
        </w:rPr>
        <w:t>6.7 Reference laboratory and genomics module</w:t>
      </w:r>
    </w:p>
    <w:p>
      <w:pPr>
        <w:jc w:val="left"/>
        <w:numPr>
          <w:ilvl w:val="0"/>
          <w:numId w:val="10"/>
        </w:numPr>
      </w:pPr>
      <w:r>
        <w:rPr>
          <w:rFonts w:ascii="Calibri" w:hAnsi="Calibri" w:eastAsia="Calibri"/>
          <w:b w:val="0"/>
          <w:color w:val="1F2933"/>
        </w:rPr>
        <w:t>Referral order, packaging/cold-chain, receipt and turnaround tracking.</w:t>
      </w:r>
    </w:p>
    <w:p>
      <w:pPr>
        <w:jc w:val="left"/>
        <w:numPr>
          <w:ilvl w:val="0"/>
          <w:numId w:val="10"/>
        </w:numPr>
      </w:pPr>
      <w:r>
        <w:rPr>
          <w:rFonts w:ascii="Calibri" w:hAnsi="Calibri" w:eastAsia="Calibri"/>
          <w:b w:val="0"/>
          <w:color w:val="1F2933"/>
        </w:rPr>
        <w:t>Phenotypic confirmation and dispute resolution.</w:t>
      </w:r>
    </w:p>
    <w:p>
      <w:pPr>
        <w:jc w:val="left"/>
        <w:numPr>
          <w:ilvl w:val="0"/>
          <w:numId w:val="10"/>
        </w:numPr>
      </w:pPr>
      <w:r>
        <w:rPr>
          <w:rFonts w:ascii="Calibri" w:hAnsi="Calibri" w:eastAsia="Calibri"/>
          <w:b w:val="0"/>
          <w:color w:val="1F2933"/>
        </w:rPr>
        <w:t>Sequencing run, quality metrics, assembly/analysis pipeline version and accession.</w:t>
      </w:r>
    </w:p>
    <w:p>
      <w:pPr>
        <w:jc w:val="left"/>
        <w:numPr>
          <w:ilvl w:val="0"/>
          <w:numId w:val="10"/>
        </w:numPr>
      </w:pPr>
      <w:r>
        <w:rPr>
          <w:rFonts w:ascii="Calibri" w:hAnsi="Calibri" w:eastAsia="Calibri"/>
          <w:b w:val="0"/>
          <w:color w:val="1F2933"/>
        </w:rPr>
        <w:t>Organism, sequence type/lineage, resistance determinants and plasmid/mobile-element findings.</w:t>
      </w:r>
    </w:p>
    <w:p>
      <w:pPr>
        <w:jc w:val="left"/>
        <w:numPr>
          <w:ilvl w:val="0"/>
          <w:numId w:val="10"/>
        </w:numPr>
      </w:pPr>
      <w:r>
        <w:rPr>
          <w:rFonts w:ascii="Calibri" w:hAnsi="Calibri" w:eastAsia="Calibri"/>
          <w:b w:val="0"/>
          <w:color w:val="1F2933"/>
        </w:rPr>
        <w:t>Cluster definitions, distance thresholds and epidemiologist review.</w:t>
      </w:r>
    </w:p>
    <w:p>
      <w:pPr>
        <w:jc w:val="left"/>
        <w:numPr>
          <w:ilvl w:val="0"/>
          <w:numId w:val="10"/>
        </w:numPr>
      </w:pPr>
      <w:r>
        <w:rPr>
          <w:rFonts w:ascii="Calibri" w:hAnsi="Calibri" w:eastAsia="Calibri"/>
          <w:b w:val="0"/>
          <w:color w:val="1F2933"/>
        </w:rPr>
        <w:t>Alert linkage without exposing unnecessary sample identifiers.</w:t>
      </w:r>
    </w:p>
    <w:p>
      <w:pPr>
        <w:jc w:val="left"/>
        <w:numPr>
          <w:ilvl w:val="0"/>
          <w:numId w:val="10"/>
        </w:numPr>
      </w:pPr>
      <w:r>
        <w:rPr>
          <w:rFonts w:ascii="Calibri" w:hAnsi="Calibri" w:eastAsia="Calibri"/>
          <w:b w:val="0"/>
          <w:color w:val="1F2933"/>
        </w:rPr>
        <w:t>Submission metadata for authorised national/international repositories.</w:t>
      </w:r>
    </w:p>
    <w:p>
      <w:pPr>
        <w:pStyle w:val="Heading2"/>
      </w:pPr>
      <w:r>
        <w:rPr>
          <w:rFonts w:ascii="Calibri" w:hAnsi="Calibri" w:eastAsia="Calibri"/>
          <w:b/>
          <w:color w:val="2E74B5"/>
          <w:sz w:val="26"/>
        </w:rPr>
        <w:t>6.8 National web platform</w:t>
      </w:r>
    </w:p>
    <w:p>
      <w:r>
        <w:rPr>
          <w:rFonts w:ascii="Calibri" w:hAnsi="Calibri" w:eastAsia="Calibri"/>
          <w:b w:val="0"/>
          <w:color w:val="1F2933"/>
        </w:rPr>
        <w:t>Extend the present server into separate bounded capabilities:</w:t>
      </w:r>
    </w:p>
    <w:p>
      <w:pPr>
        <w:jc w:val="left"/>
        <w:numPr>
          <w:ilvl w:val="0"/>
          <w:numId w:val="10"/>
        </w:numPr>
      </w:pPr>
      <w:r>
        <w:rPr>
          <w:rFonts w:ascii="Calibri" w:hAnsi="Calibri" w:eastAsia="Calibri"/>
          <w:b w:val="0"/>
          <w:color w:val="1F2933"/>
        </w:rPr>
        <w:t>Identity and organisation administration.</w:t>
      </w:r>
    </w:p>
    <w:p>
      <w:pPr>
        <w:jc w:val="left"/>
        <w:numPr>
          <w:ilvl w:val="0"/>
          <w:numId w:val="10"/>
        </w:numPr>
      </w:pPr>
      <w:r>
        <w:rPr>
          <w:rFonts w:ascii="Calibri" w:hAnsi="Calibri" w:eastAsia="Calibri"/>
          <w:b w:val="0"/>
          <w:color w:val="1F2933"/>
        </w:rPr>
        <w:t>Site/device provisioning and software compliance.</w:t>
      </w:r>
    </w:p>
    <w:p>
      <w:pPr>
        <w:jc w:val="left"/>
        <w:numPr>
          <w:ilvl w:val="0"/>
          <w:numId w:val="10"/>
        </w:numPr>
      </w:pPr>
      <w:r>
        <w:rPr>
          <w:rFonts w:ascii="Calibri" w:hAnsi="Calibri" w:eastAsia="Calibri"/>
          <w:b w:val="0"/>
          <w:color w:val="1F2933"/>
        </w:rPr>
        <w:t>Federated query and scheduled surveillance jobs.</w:t>
      </w:r>
    </w:p>
    <w:p>
      <w:pPr>
        <w:jc w:val="left"/>
        <w:numPr>
          <w:ilvl w:val="0"/>
          <w:numId w:val="10"/>
        </w:numPr>
      </w:pPr>
      <w:r>
        <w:rPr>
          <w:rFonts w:ascii="Calibri" w:hAnsi="Calibri" w:eastAsia="Calibri"/>
          <w:b w:val="0"/>
          <w:color w:val="1F2933"/>
        </w:rPr>
        <w:t>Data-product catalogue, quality, lineage and access requests.</w:t>
      </w:r>
    </w:p>
    <w:p>
      <w:pPr>
        <w:jc w:val="left"/>
        <w:numPr>
          <w:ilvl w:val="0"/>
          <w:numId w:val="10"/>
        </w:numPr>
      </w:pPr>
      <w:r>
        <w:rPr>
          <w:rFonts w:ascii="Calibri" w:hAnsi="Calibri" w:eastAsia="Calibri"/>
          <w:b w:val="0"/>
          <w:color w:val="1F2933"/>
        </w:rPr>
        <w:t>National/State/district dashboards with Basic and Advanced views.</w:t>
      </w:r>
    </w:p>
    <w:p>
      <w:pPr>
        <w:jc w:val="left"/>
        <w:numPr>
          <w:ilvl w:val="0"/>
          <w:numId w:val="10"/>
        </w:numPr>
      </w:pPr>
      <w:r>
        <w:rPr>
          <w:rFonts w:ascii="Calibri" w:hAnsi="Calibri" w:eastAsia="Calibri"/>
          <w:b w:val="0"/>
          <w:color w:val="1F2933"/>
        </w:rPr>
        <w:t>Alert and joint risk-assessment workbench.</w:t>
      </w:r>
    </w:p>
    <w:p>
      <w:pPr>
        <w:jc w:val="left"/>
        <w:numPr>
          <w:ilvl w:val="0"/>
          <w:numId w:val="10"/>
        </w:numPr>
      </w:pPr>
      <w:r>
        <w:rPr>
          <w:rFonts w:ascii="Calibri" w:hAnsi="Calibri" w:eastAsia="Calibri"/>
          <w:b w:val="0"/>
          <w:color w:val="1F2933"/>
        </w:rPr>
        <w:t>Action plans, assignments, SLA, escalation, evidence and closure.</w:t>
      </w:r>
    </w:p>
    <w:p>
      <w:pPr>
        <w:jc w:val="left"/>
        <w:numPr>
          <w:ilvl w:val="0"/>
          <w:numId w:val="10"/>
        </w:numPr>
      </w:pPr>
      <w:r>
        <w:rPr>
          <w:rFonts w:ascii="Calibri" w:hAnsi="Calibri" w:eastAsia="Calibri"/>
          <w:b w:val="0"/>
          <w:color w:val="1F2933"/>
        </w:rPr>
        <w:t>NAP-AMR/SAP-CAR programme milestone and expenditure/evidence tracking.</w:t>
      </w:r>
    </w:p>
    <w:p>
      <w:pPr>
        <w:jc w:val="left"/>
        <w:numPr>
          <w:ilvl w:val="0"/>
          <w:numId w:val="10"/>
        </w:numPr>
      </w:pPr>
      <w:r>
        <w:rPr>
          <w:rFonts w:ascii="Calibri" w:hAnsi="Calibri" w:eastAsia="Calibri"/>
          <w:b w:val="0"/>
          <w:color w:val="1F2933"/>
        </w:rPr>
        <w:t>Public transparency portal.</w:t>
      </w:r>
    </w:p>
    <w:p>
      <w:pPr>
        <w:jc w:val="left"/>
        <w:numPr>
          <w:ilvl w:val="0"/>
          <w:numId w:val="10"/>
        </w:numPr>
      </w:pPr>
      <w:r>
        <w:rPr>
          <w:rFonts w:ascii="Calibri" w:hAnsi="Calibri" w:eastAsia="Calibri"/>
          <w:b w:val="0"/>
          <w:color w:val="1F2933"/>
        </w:rPr>
        <w:t>International reporting and reproducible annual-report generation.</w:t>
      </w:r>
    </w:p>
    <w:p>
      <w:pPr>
        <w:jc w:val="left"/>
        <w:numPr>
          <w:ilvl w:val="0"/>
          <w:numId w:val="10"/>
        </w:numPr>
      </w:pPr>
      <w:r>
        <w:rPr>
          <w:rFonts w:ascii="Calibri" w:hAnsi="Calibri" w:eastAsia="Calibri"/>
          <w:b w:val="0"/>
          <w:color w:val="1F2933"/>
        </w:rPr>
        <w:t>Secure research enclave with approved extracts and disclosure review.</w:t>
      </w:r>
    </w:p>
    <w:p>
      <w:pPr>
        <w:pStyle w:val="Heading1"/>
      </w:pPr>
      <w:r>
        <w:rPr>
          <w:rFonts w:ascii="Calibri" w:hAnsi="Calibri" w:eastAsia="Calibri"/>
          <w:b/>
          <w:color w:val="2E74B5"/>
          <w:sz w:val="32"/>
        </w:rPr>
        <w:t>7. Surveillance and analytics framework</w:t>
      </w:r>
    </w:p>
    <w:p>
      <w:pPr>
        <w:pStyle w:val="Heading2"/>
      </w:pPr>
      <w:r>
        <w:rPr>
          <w:rFonts w:ascii="Calibri" w:hAnsi="Calibri" w:eastAsia="Calibri"/>
          <w:b/>
          <w:color w:val="2E74B5"/>
          <w:sz w:val="26"/>
        </w:rPr>
        <w:t>7.1 Core surveillance streams</w:t>
      </w:r>
    </w:p>
    <w:tbl>
      <w:tblPr>
        <w:tblW w:type="dxa" w:w="9360"/>
        <w:jc w:val="left"/>
        <w:tblLayout w:type="fixed"/>
        <w:tblLook w:firstColumn="1" w:firstRow="1" w:lastColumn="0" w:lastRow="0" w:noHBand="0" w:noVBand="1" w:val="04A0"/>
        <w:tblInd w:w="120" w:type="dxa"/>
        <w:tblBorders>
          <w:top w:val="single" w:sz="6" w:space="0" w:color="D9E1E8"/>
          <w:left w:val="single" w:sz="6" w:space="0" w:color="D9E1E8"/>
          <w:bottom w:val="single" w:sz="6" w:space="0" w:color="D9E1E8"/>
          <w:right w:val="single" w:sz="6" w:space="0" w:color="D9E1E8"/>
          <w:insideH w:val="single" w:sz="6" w:space="0" w:color="D9E1E8"/>
          <w:insideV w:val="single" w:sz="6" w:space="0" w:color="D9E1E8"/>
        </w:tblBorders>
      </w:tblPr>
      <w:tblGrid>
        <w:gridCol w:w="1800"/>
        <w:gridCol w:w="3500"/>
        <w:gridCol w:w="4060"/>
      </w:tblGrid>
      <w:tr>
        <w:trPr>
          <w:tblHeader w:val="true"/>
          <w:cantSplit w:val="true"/>
        </w:trPr>
        <w:tc>
          <w:tcPr>
            <w:tcW w:type="dxa" w:w="1800"/>
            <w:tcMar>
              <w:top w:w="90" w:type="dxa"/>
              <w:start w:w="120" w:type="dxa"/>
              <w:bottom w:w="90" w:type="dxa"/>
              <w:end w:w="120" w:type="dxa"/>
            </w:tcMar>
            <w:vAlign w:val="center"/>
            <w:shd w:fill="17365D"/>
          </w:tcPr>
          <w:p>
            <w:pPr>
              <w:pStyle w:val="TableText"/>
              <w:jc w:val="left"/>
            </w:pPr>
            <w:r>
              <w:rPr>
                <w:rFonts w:ascii="Calibri" w:hAnsi="Calibri" w:eastAsia="Calibri"/>
                <w:b/>
                <w:color w:val="FFFFFF"/>
                <w:sz w:val="18"/>
              </w:rPr>
              <w:t>Stream</w:t>
            </w:r>
          </w:p>
        </w:tc>
        <w:tc>
          <w:tcPr>
            <w:tcW w:type="dxa" w:w="3500"/>
            <w:tcMar>
              <w:top w:w="90" w:type="dxa"/>
              <w:start w:w="120" w:type="dxa"/>
              <w:bottom w:w="90" w:type="dxa"/>
              <w:end w:w="120" w:type="dxa"/>
            </w:tcMar>
            <w:vAlign w:val="center"/>
            <w:shd w:fill="17365D"/>
          </w:tcPr>
          <w:p>
            <w:pPr>
              <w:pStyle w:val="TableText"/>
              <w:jc w:val="left"/>
            </w:pPr>
            <w:r>
              <w:rPr>
                <w:rFonts w:ascii="Calibri" w:hAnsi="Calibri" w:eastAsia="Calibri"/>
                <w:b/>
                <w:color w:val="FFFFFF"/>
                <w:sz w:val="18"/>
              </w:rPr>
              <w:t>Core measures</w:t>
            </w:r>
          </w:p>
        </w:tc>
        <w:tc>
          <w:tcPr>
            <w:tcW w:type="dxa" w:w="4060"/>
            <w:tcMar>
              <w:top w:w="90" w:type="dxa"/>
              <w:start w:w="120" w:type="dxa"/>
              <w:bottom w:w="90" w:type="dxa"/>
              <w:end w:w="120" w:type="dxa"/>
            </w:tcMar>
            <w:vAlign w:val="center"/>
            <w:shd w:fill="17365D"/>
          </w:tcPr>
          <w:p>
            <w:pPr>
              <w:pStyle w:val="TableText"/>
              <w:jc w:val="left"/>
            </w:pPr>
            <w:r>
              <w:rPr>
                <w:rFonts w:ascii="Calibri" w:hAnsi="Calibri" w:eastAsia="Calibri"/>
                <w:b/>
                <w:color w:val="FFFFFF"/>
                <w:sz w:val="18"/>
              </w:rPr>
              <w:t>Primary action</w:t>
            </w:r>
          </w:p>
        </w:tc>
      </w:tr>
      <w:tr>
        <w:trPr>
          <w:cantSplit w:val="true"/>
        </w:trPr>
        <w:tc>
          <w:tcPr>
            <w:tcW w:type="dxa" w:w="1800"/>
            <w:tcMar>
              <w:top w:w="90" w:type="dxa"/>
              <w:start w:w="120" w:type="dxa"/>
              <w:bottom w:w="90" w:type="dxa"/>
              <w:end w:w="120" w:type="dxa"/>
            </w:tcMar>
            <w:vAlign w:val="center"/>
          </w:tcPr>
          <w:p>
            <w:pPr>
              <w:pStyle w:val="TableText"/>
              <w:jc w:val="left"/>
            </w:pPr>
            <w:r>
              <w:rPr>
                <w:rFonts w:ascii="Calibri" w:hAnsi="Calibri" w:eastAsia="Calibri"/>
                <w:b w:val="0"/>
                <w:color w:val="1F2933"/>
                <w:sz w:val="18"/>
              </w:rPr>
              <w:t>Human phenotypic AMR</w:t>
            </w:r>
          </w:p>
        </w:tc>
        <w:tc>
          <w:tcPr>
            <w:tcW w:type="dxa" w:w="3500"/>
            <w:tcMar>
              <w:top w:w="90" w:type="dxa"/>
              <w:start w:w="120" w:type="dxa"/>
              <w:bottom w:w="90" w:type="dxa"/>
              <w:end w:w="120" w:type="dxa"/>
            </w:tcMar>
            <w:vAlign w:val="center"/>
          </w:tcPr>
          <w:p>
            <w:pPr>
              <w:pStyle w:val="TableText"/>
              <w:jc w:val="left"/>
            </w:pPr>
            <w:r>
              <w:rPr>
                <w:rFonts w:ascii="Calibri" w:hAnsi="Calibri" w:eastAsia="Calibri"/>
                <w:b w:val="0"/>
                <w:color w:val="1F2933"/>
                <w:sz w:val="18"/>
              </w:rPr>
              <w:t>Resistance/non-susceptibility by organism, specimen, drug, place and time</w:t>
            </w:r>
          </w:p>
        </w:tc>
        <w:tc>
          <w:tcPr>
            <w:tcW w:type="dxa" w:w="4060"/>
            <w:tcMar>
              <w:top w:w="90" w:type="dxa"/>
              <w:start w:w="120" w:type="dxa"/>
              <w:bottom w:w="90" w:type="dxa"/>
              <w:end w:w="120" w:type="dxa"/>
            </w:tcMar>
            <w:vAlign w:val="center"/>
          </w:tcPr>
          <w:p>
            <w:pPr>
              <w:pStyle w:val="TableText"/>
              <w:jc w:val="left"/>
            </w:pPr>
            <w:r>
              <w:rPr>
                <w:rFonts w:ascii="Calibri" w:hAnsi="Calibri" w:eastAsia="Calibri"/>
                <w:b w:val="0"/>
                <w:color w:val="1F2933"/>
                <w:sz w:val="18"/>
              </w:rPr>
              <w:t>Treatment policy, lab response, alerts</w:t>
            </w:r>
          </w:p>
        </w:tc>
      </w:tr>
      <w:tr>
        <w:trPr>
          <w:cantSplit w:val="true"/>
        </w:trPr>
        <w:tc>
          <w:tcPr>
            <w:tcW w:type="dxa" w:w="1800"/>
            <w:tcMar>
              <w:top w:w="90" w:type="dxa"/>
              <w:start w:w="120" w:type="dxa"/>
              <w:bottom w:w="90" w:type="dxa"/>
              <w:end w:w="120" w:type="dxa"/>
            </w:tcMar>
            <w:vAlign w:val="center"/>
            <w:shd w:fill="F4F6F9"/>
          </w:tcPr>
          <w:p>
            <w:pPr>
              <w:pStyle w:val="TableText"/>
              <w:jc w:val="left"/>
            </w:pPr>
            <w:r>
              <w:rPr>
                <w:rFonts w:ascii="Calibri" w:hAnsi="Calibri" w:eastAsia="Calibri"/>
                <w:b w:val="0"/>
                <w:color w:val="1F2933"/>
                <w:sz w:val="18"/>
              </w:rPr>
              <w:t>Animal/fisheries AMR</w:t>
            </w:r>
          </w:p>
        </w:tc>
        <w:tc>
          <w:tcPr>
            <w:tcW w:type="dxa" w:w="3500"/>
            <w:tcMar>
              <w:top w:w="90" w:type="dxa"/>
              <w:start w:w="120" w:type="dxa"/>
              <w:bottom w:w="90" w:type="dxa"/>
              <w:end w:w="120" w:type="dxa"/>
            </w:tcMar>
            <w:vAlign w:val="center"/>
            <w:shd w:fill="F4F6F9"/>
          </w:tcPr>
          <w:p>
            <w:pPr>
              <w:pStyle w:val="TableText"/>
              <w:jc w:val="left"/>
            </w:pPr>
            <w:r>
              <w:rPr>
                <w:rFonts w:ascii="Calibri" w:hAnsi="Calibri" w:eastAsia="Calibri"/>
                <w:b w:val="0"/>
                <w:color w:val="1F2933"/>
                <w:sz w:val="18"/>
              </w:rPr>
              <w:t>AMR by host, production system, commodity and sampling frame</w:t>
            </w:r>
          </w:p>
        </w:tc>
        <w:tc>
          <w:tcPr>
            <w:tcW w:type="dxa" w:w="4060"/>
            <w:tcMar>
              <w:top w:w="90" w:type="dxa"/>
              <w:start w:w="120" w:type="dxa"/>
              <w:bottom w:w="90" w:type="dxa"/>
              <w:end w:w="120" w:type="dxa"/>
            </w:tcMar>
            <w:vAlign w:val="center"/>
            <w:shd w:fill="F4F6F9"/>
          </w:tcPr>
          <w:p>
            <w:pPr>
              <w:pStyle w:val="TableText"/>
              <w:jc w:val="left"/>
            </w:pPr>
            <w:r>
              <w:rPr>
                <w:rFonts w:ascii="Calibri" w:hAnsi="Calibri" w:eastAsia="Calibri"/>
                <w:b w:val="0"/>
                <w:color w:val="1F2933"/>
                <w:sz w:val="18"/>
              </w:rPr>
              <w:t>Veterinary stewardship, biosecurity, food-chain action</w:t>
            </w:r>
          </w:p>
        </w:tc>
      </w:tr>
      <w:tr>
        <w:trPr>
          <w:cantSplit w:val="true"/>
        </w:trPr>
        <w:tc>
          <w:tcPr>
            <w:tcW w:type="dxa" w:w="1800"/>
            <w:tcMar>
              <w:top w:w="90" w:type="dxa"/>
              <w:start w:w="120" w:type="dxa"/>
              <w:bottom w:w="90" w:type="dxa"/>
              <w:end w:w="120" w:type="dxa"/>
            </w:tcMar>
            <w:vAlign w:val="center"/>
          </w:tcPr>
          <w:p>
            <w:pPr>
              <w:pStyle w:val="TableText"/>
              <w:jc w:val="left"/>
            </w:pPr>
            <w:r>
              <w:rPr>
                <w:rFonts w:ascii="Calibri" w:hAnsi="Calibri" w:eastAsia="Calibri"/>
                <w:b w:val="0"/>
                <w:color w:val="1F2933"/>
                <w:sz w:val="18"/>
              </w:rPr>
              <w:t>Food AMR/residues</w:t>
            </w:r>
          </w:p>
        </w:tc>
        <w:tc>
          <w:tcPr>
            <w:tcW w:type="dxa" w:w="3500"/>
            <w:tcMar>
              <w:top w:w="90" w:type="dxa"/>
              <w:start w:w="120" w:type="dxa"/>
              <w:bottom w:w="90" w:type="dxa"/>
              <w:end w:w="120" w:type="dxa"/>
            </w:tcMar>
            <w:vAlign w:val="center"/>
          </w:tcPr>
          <w:p>
            <w:pPr>
              <w:pStyle w:val="TableText"/>
              <w:jc w:val="left"/>
            </w:pPr>
            <w:r>
              <w:rPr>
                <w:rFonts w:ascii="Calibri" w:hAnsi="Calibri" w:eastAsia="Calibri"/>
                <w:b w:val="0"/>
                <w:color w:val="1F2933"/>
                <w:sz w:val="18"/>
              </w:rPr>
              <w:t>Resistant organisms/genes and residue exceedance by commodity/source</w:t>
            </w:r>
          </w:p>
        </w:tc>
        <w:tc>
          <w:tcPr>
            <w:tcW w:type="dxa" w:w="4060"/>
            <w:tcMar>
              <w:top w:w="90" w:type="dxa"/>
              <w:start w:w="120" w:type="dxa"/>
              <w:bottom w:w="90" w:type="dxa"/>
              <w:end w:w="120" w:type="dxa"/>
            </w:tcMar>
            <w:vAlign w:val="center"/>
          </w:tcPr>
          <w:p>
            <w:pPr>
              <w:pStyle w:val="TableText"/>
              <w:jc w:val="left"/>
            </w:pPr>
            <w:r>
              <w:rPr>
                <w:rFonts w:ascii="Calibri" w:hAnsi="Calibri" w:eastAsia="Calibri"/>
                <w:b w:val="0"/>
                <w:color w:val="1F2933"/>
                <w:sz w:val="18"/>
              </w:rPr>
              <w:t>Enforcement, source investigation, guidance</w:t>
            </w:r>
          </w:p>
        </w:tc>
      </w:tr>
      <w:tr>
        <w:trPr>
          <w:cantSplit w:val="true"/>
        </w:trPr>
        <w:tc>
          <w:tcPr>
            <w:tcW w:type="dxa" w:w="1800"/>
            <w:tcMar>
              <w:top w:w="90" w:type="dxa"/>
              <w:start w:w="120" w:type="dxa"/>
              <w:bottom w:w="90" w:type="dxa"/>
              <w:end w:w="120" w:type="dxa"/>
            </w:tcMar>
            <w:vAlign w:val="center"/>
            <w:shd w:fill="F4F6F9"/>
          </w:tcPr>
          <w:p>
            <w:pPr>
              <w:pStyle w:val="TableText"/>
              <w:jc w:val="left"/>
            </w:pPr>
            <w:r>
              <w:rPr>
                <w:rFonts w:ascii="Calibri" w:hAnsi="Calibri" w:eastAsia="Calibri"/>
                <w:b w:val="0"/>
                <w:color w:val="1F2933"/>
                <w:sz w:val="18"/>
              </w:rPr>
              <w:t>Environmental AMR/residues</w:t>
            </w:r>
          </w:p>
        </w:tc>
        <w:tc>
          <w:tcPr>
            <w:tcW w:type="dxa" w:w="3500"/>
            <w:tcMar>
              <w:top w:w="90" w:type="dxa"/>
              <w:start w:w="120" w:type="dxa"/>
              <w:bottom w:w="90" w:type="dxa"/>
              <w:end w:w="120" w:type="dxa"/>
            </w:tcMar>
            <w:vAlign w:val="center"/>
            <w:shd w:fill="F4F6F9"/>
          </w:tcPr>
          <w:p>
            <w:pPr>
              <w:pStyle w:val="TableText"/>
              <w:jc w:val="left"/>
            </w:pPr>
            <w:r>
              <w:rPr>
                <w:rFonts w:ascii="Calibri" w:hAnsi="Calibri" w:eastAsia="Calibri"/>
                <w:b w:val="0"/>
                <w:color w:val="1F2933"/>
                <w:sz w:val="18"/>
              </w:rPr>
              <w:t>Organisms, genes and residues by matrix/source context</w:t>
            </w:r>
          </w:p>
        </w:tc>
        <w:tc>
          <w:tcPr>
            <w:tcW w:type="dxa" w:w="4060"/>
            <w:tcMar>
              <w:top w:w="90" w:type="dxa"/>
              <w:start w:w="120" w:type="dxa"/>
              <w:bottom w:w="90" w:type="dxa"/>
              <w:end w:w="120" w:type="dxa"/>
            </w:tcMar>
            <w:vAlign w:val="center"/>
            <w:shd w:fill="F4F6F9"/>
          </w:tcPr>
          <w:p>
            <w:pPr>
              <w:pStyle w:val="TableText"/>
              <w:jc w:val="left"/>
            </w:pPr>
            <w:r>
              <w:rPr>
                <w:rFonts w:ascii="Calibri" w:hAnsi="Calibri" w:eastAsia="Calibri"/>
                <w:b w:val="0"/>
                <w:color w:val="1F2933"/>
                <w:sz w:val="18"/>
              </w:rPr>
              <w:t>Effluent/waste action and risk assessment</w:t>
            </w:r>
          </w:p>
        </w:tc>
      </w:tr>
      <w:tr>
        <w:trPr>
          <w:cantSplit w:val="true"/>
        </w:trPr>
        <w:tc>
          <w:tcPr>
            <w:tcW w:type="dxa" w:w="1800"/>
            <w:tcMar>
              <w:top w:w="90" w:type="dxa"/>
              <w:start w:w="120" w:type="dxa"/>
              <w:bottom w:w="90" w:type="dxa"/>
              <w:end w:w="120" w:type="dxa"/>
            </w:tcMar>
            <w:vAlign w:val="center"/>
          </w:tcPr>
          <w:p>
            <w:pPr>
              <w:pStyle w:val="TableText"/>
              <w:jc w:val="left"/>
            </w:pPr>
            <w:r>
              <w:rPr>
                <w:rFonts w:ascii="Calibri" w:hAnsi="Calibri" w:eastAsia="Calibri"/>
                <w:b w:val="0"/>
                <w:color w:val="1F2933"/>
                <w:sz w:val="18"/>
              </w:rPr>
              <w:t>Human AMC/AMU</w:t>
            </w:r>
          </w:p>
        </w:tc>
        <w:tc>
          <w:tcPr>
            <w:tcW w:type="dxa" w:w="3500"/>
            <w:tcMar>
              <w:top w:w="90" w:type="dxa"/>
              <w:start w:w="120" w:type="dxa"/>
              <w:bottom w:w="90" w:type="dxa"/>
              <w:end w:w="120" w:type="dxa"/>
            </w:tcMar>
            <w:vAlign w:val="center"/>
          </w:tcPr>
          <w:p>
            <w:pPr>
              <w:pStyle w:val="TableText"/>
              <w:jc w:val="left"/>
            </w:pPr>
            <w:r>
              <w:rPr>
                <w:rFonts w:ascii="Calibri" w:hAnsi="Calibri" w:eastAsia="Calibri"/>
                <w:b w:val="0"/>
                <w:color w:val="1F2933"/>
                <w:sz w:val="18"/>
              </w:rPr>
              <w:t>DDD, DOT, AWaRe, indication and appropriateness</w:t>
            </w:r>
          </w:p>
        </w:tc>
        <w:tc>
          <w:tcPr>
            <w:tcW w:type="dxa" w:w="4060"/>
            <w:tcMar>
              <w:top w:w="90" w:type="dxa"/>
              <w:start w:w="120" w:type="dxa"/>
              <w:bottom w:w="90" w:type="dxa"/>
              <w:end w:w="120" w:type="dxa"/>
            </w:tcMar>
            <w:vAlign w:val="center"/>
          </w:tcPr>
          <w:p>
            <w:pPr>
              <w:pStyle w:val="TableText"/>
              <w:jc w:val="left"/>
            </w:pPr>
            <w:r>
              <w:rPr>
                <w:rFonts w:ascii="Calibri" w:hAnsi="Calibri" w:eastAsia="Calibri"/>
                <w:b w:val="0"/>
                <w:color w:val="1F2933"/>
                <w:sz w:val="18"/>
              </w:rPr>
              <w:t>Stewardship, access and regulatory action</w:t>
            </w:r>
          </w:p>
        </w:tc>
      </w:tr>
      <w:tr>
        <w:trPr>
          <w:cantSplit w:val="true"/>
        </w:trPr>
        <w:tc>
          <w:tcPr>
            <w:tcW w:type="dxa" w:w="1800"/>
            <w:tcMar>
              <w:top w:w="90" w:type="dxa"/>
              <w:start w:w="120" w:type="dxa"/>
              <w:bottom w:w="90" w:type="dxa"/>
              <w:end w:w="120" w:type="dxa"/>
            </w:tcMar>
            <w:vAlign w:val="center"/>
            <w:shd w:fill="F4F6F9"/>
          </w:tcPr>
          <w:p>
            <w:pPr>
              <w:pStyle w:val="TableText"/>
              <w:jc w:val="left"/>
            </w:pPr>
            <w:r>
              <w:rPr>
                <w:rFonts w:ascii="Calibri" w:hAnsi="Calibri" w:eastAsia="Calibri"/>
                <w:b w:val="0"/>
                <w:color w:val="1F2933"/>
                <w:sz w:val="18"/>
              </w:rPr>
              <w:t>Animal/fisheries AMU</w:t>
            </w:r>
          </w:p>
        </w:tc>
        <w:tc>
          <w:tcPr>
            <w:tcW w:type="dxa" w:w="3500"/>
            <w:tcMar>
              <w:top w:w="90" w:type="dxa"/>
              <w:start w:w="120" w:type="dxa"/>
              <w:bottom w:w="90" w:type="dxa"/>
              <w:end w:w="120" w:type="dxa"/>
            </w:tcMar>
            <w:vAlign w:val="center"/>
            <w:shd w:fill="F4F6F9"/>
          </w:tcPr>
          <w:p>
            <w:pPr>
              <w:pStyle w:val="TableText"/>
              <w:jc w:val="left"/>
            </w:pPr>
            <w:r>
              <w:rPr>
                <w:rFonts w:ascii="Calibri" w:hAnsi="Calibri" w:eastAsia="Calibri"/>
                <w:b w:val="0"/>
                <w:color w:val="1F2933"/>
                <w:sz w:val="18"/>
              </w:rPr>
              <w:t>Active ingredient, class, purpose, route and denominator</w:t>
            </w:r>
          </w:p>
        </w:tc>
        <w:tc>
          <w:tcPr>
            <w:tcW w:type="dxa" w:w="4060"/>
            <w:tcMar>
              <w:top w:w="90" w:type="dxa"/>
              <w:start w:w="120" w:type="dxa"/>
              <w:bottom w:w="90" w:type="dxa"/>
              <w:end w:w="120" w:type="dxa"/>
            </w:tcMar>
            <w:vAlign w:val="center"/>
            <w:shd w:fill="F4F6F9"/>
          </w:tcPr>
          <w:p>
            <w:pPr>
              <w:pStyle w:val="TableText"/>
              <w:jc w:val="left"/>
            </w:pPr>
            <w:r>
              <w:rPr>
                <w:rFonts w:ascii="Calibri" w:hAnsi="Calibri" w:eastAsia="Calibri"/>
                <w:b w:val="0"/>
                <w:color w:val="1F2933"/>
                <w:sz w:val="18"/>
              </w:rPr>
              <w:t>Stewardship, regulation and ANIMUSE reporting</w:t>
            </w:r>
          </w:p>
        </w:tc>
      </w:tr>
      <w:tr>
        <w:trPr>
          <w:cantSplit w:val="true"/>
        </w:trPr>
        <w:tc>
          <w:tcPr>
            <w:tcW w:type="dxa" w:w="1800"/>
            <w:tcMar>
              <w:top w:w="90" w:type="dxa"/>
              <w:start w:w="120" w:type="dxa"/>
              <w:bottom w:w="90" w:type="dxa"/>
              <w:end w:w="120" w:type="dxa"/>
            </w:tcMar>
            <w:vAlign w:val="center"/>
          </w:tcPr>
          <w:p>
            <w:pPr>
              <w:pStyle w:val="TableText"/>
              <w:jc w:val="left"/>
            </w:pPr>
            <w:r>
              <w:rPr>
                <w:rFonts w:ascii="Calibri" w:hAnsi="Calibri" w:eastAsia="Calibri"/>
                <w:b w:val="0"/>
                <w:color w:val="1F2933"/>
                <w:sz w:val="18"/>
              </w:rPr>
              <w:t>IPC/HAI</w:t>
            </w:r>
          </w:p>
        </w:tc>
        <w:tc>
          <w:tcPr>
            <w:tcW w:type="dxa" w:w="3500"/>
            <w:tcMar>
              <w:top w:w="90" w:type="dxa"/>
              <w:start w:w="120" w:type="dxa"/>
              <w:bottom w:w="90" w:type="dxa"/>
              <w:end w:w="120" w:type="dxa"/>
            </w:tcMar>
            <w:vAlign w:val="center"/>
          </w:tcPr>
          <w:p>
            <w:pPr>
              <w:pStyle w:val="TableText"/>
              <w:jc w:val="left"/>
            </w:pPr>
            <w:r>
              <w:rPr>
                <w:rFonts w:ascii="Calibri" w:hAnsi="Calibri" w:eastAsia="Calibri"/>
                <w:b w:val="0"/>
                <w:color w:val="1F2933"/>
                <w:sz w:val="18"/>
              </w:rPr>
              <w:t>HAI incidence, device-associated rates, IPC implementation</w:t>
            </w:r>
          </w:p>
        </w:tc>
        <w:tc>
          <w:tcPr>
            <w:tcW w:type="dxa" w:w="4060"/>
            <w:tcMar>
              <w:top w:w="90" w:type="dxa"/>
              <w:start w:w="120" w:type="dxa"/>
              <w:bottom w:w="90" w:type="dxa"/>
              <w:end w:w="120" w:type="dxa"/>
            </w:tcMar>
            <w:vAlign w:val="center"/>
          </w:tcPr>
          <w:p>
            <w:pPr>
              <w:pStyle w:val="TableText"/>
              <w:jc w:val="left"/>
            </w:pPr>
            <w:r>
              <w:rPr>
                <w:rFonts w:ascii="Calibri" w:hAnsi="Calibri" w:eastAsia="Calibri"/>
                <w:b w:val="0"/>
                <w:color w:val="1F2933"/>
                <w:sz w:val="18"/>
              </w:rPr>
              <w:t>Infection prevention and facility safety</w:t>
            </w:r>
          </w:p>
        </w:tc>
      </w:tr>
      <w:tr>
        <w:trPr>
          <w:cantSplit w:val="true"/>
        </w:trPr>
        <w:tc>
          <w:tcPr>
            <w:tcW w:type="dxa" w:w="1800"/>
            <w:tcMar>
              <w:top w:w="90" w:type="dxa"/>
              <w:start w:w="120" w:type="dxa"/>
              <w:bottom w:w="90" w:type="dxa"/>
              <w:end w:w="120" w:type="dxa"/>
            </w:tcMar>
            <w:vAlign w:val="center"/>
            <w:shd w:fill="F4F6F9"/>
          </w:tcPr>
          <w:p>
            <w:pPr>
              <w:pStyle w:val="TableText"/>
              <w:jc w:val="left"/>
            </w:pPr>
            <w:r>
              <w:rPr>
                <w:rFonts w:ascii="Calibri" w:hAnsi="Calibri" w:eastAsia="Calibri"/>
                <w:b w:val="0"/>
                <w:color w:val="1F2933"/>
                <w:sz w:val="18"/>
              </w:rPr>
              <w:t>Genomic/EAR</w:t>
            </w:r>
          </w:p>
        </w:tc>
        <w:tc>
          <w:tcPr>
            <w:tcW w:type="dxa" w:w="3500"/>
            <w:tcMar>
              <w:top w:w="90" w:type="dxa"/>
              <w:start w:w="120" w:type="dxa"/>
              <w:bottom w:w="90" w:type="dxa"/>
              <w:end w:w="120" w:type="dxa"/>
            </w:tcMar>
            <w:vAlign w:val="center"/>
            <w:shd w:fill="F4F6F9"/>
          </w:tcPr>
          <w:p>
            <w:pPr>
              <w:pStyle w:val="TableText"/>
              <w:jc w:val="left"/>
            </w:pPr>
            <w:r>
              <w:rPr>
                <w:rFonts w:ascii="Calibri" w:hAnsi="Calibri" w:eastAsia="Calibri"/>
                <w:b w:val="0"/>
                <w:color w:val="1F2933"/>
                <w:sz w:val="18"/>
              </w:rPr>
              <w:t>Resistance determinants, novel mechanisms and clusters</w:t>
            </w:r>
          </w:p>
        </w:tc>
        <w:tc>
          <w:tcPr>
            <w:tcW w:type="dxa" w:w="4060"/>
            <w:tcMar>
              <w:top w:w="90" w:type="dxa"/>
              <w:start w:w="120" w:type="dxa"/>
              <w:bottom w:w="90" w:type="dxa"/>
              <w:end w:w="120" w:type="dxa"/>
            </w:tcMar>
            <w:vAlign w:val="center"/>
            <w:shd w:fill="F4F6F9"/>
          </w:tcPr>
          <w:p>
            <w:pPr>
              <w:pStyle w:val="TableText"/>
              <w:jc w:val="left"/>
            </w:pPr>
            <w:r>
              <w:rPr>
                <w:rFonts w:ascii="Calibri" w:hAnsi="Calibri" w:eastAsia="Calibri"/>
                <w:b w:val="0"/>
                <w:color w:val="1F2933"/>
                <w:sz w:val="18"/>
              </w:rPr>
              <w:t>Verification, containment and communication</w:t>
            </w:r>
          </w:p>
        </w:tc>
      </w:tr>
      <w:tr>
        <w:trPr>
          <w:cantSplit w:val="true"/>
        </w:trPr>
        <w:tc>
          <w:tcPr>
            <w:tcW w:type="dxa" w:w="1800"/>
            <w:tcMar>
              <w:top w:w="90" w:type="dxa"/>
              <w:start w:w="120" w:type="dxa"/>
              <w:bottom w:w="90" w:type="dxa"/>
              <w:end w:w="120" w:type="dxa"/>
            </w:tcMar>
            <w:vAlign w:val="center"/>
          </w:tcPr>
          <w:p>
            <w:pPr>
              <w:pStyle w:val="TableText"/>
              <w:jc w:val="left"/>
            </w:pPr>
            <w:r>
              <w:rPr>
                <w:rFonts w:ascii="Calibri" w:hAnsi="Calibri" w:eastAsia="Calibri"/>
                <w:b w:val="0"/>
                <w:color w:val="1F2933"/>
                <w:sz w:val="18"/>
              </w:rPr>
              <w:t>Laboratory quality</w:t>
            </w:r>
          </w:p>
        </w:tc>
        <w:tc>
          <w:tcPr>
            <w:tcW w:type="dxa" w:w="3500"/>
            <w:tcMar>
              <w:top w:w="90" w:type="dxa"/>
              <w:start w:w="120" w:type="dxa"/>
              <w:bottom w:w="90" w:type="dxa"/>
              <w:end w:w="120" w:type="dxa"/>
            </w:tcMar>
            <w:vAlign w:val="center"/>
          </w:tcPr>
          <w:p>
            <w:pPr>
              <w:pStyle w:val="TableText"/>
              <w:jc w:val="left"/>
            </w:pPr>
            <w:r>
              <w:rPr>
                <w:rFonts w:ascii="Calibri" w:hAnsi="Calibri" w:eastAsia="Calibri"/>
                <w:b w:val="0"/>
                <w:color w:val="1F2933"/>
                <w:sz w:val="18"/>
              </w:rPr>
              <w:t>EQA, QC, turnaround, contamination, completeness</w:t>
            </w:r>
          </w:p>
        </w:tc>
        <w:tc>
          <w:tcPr>
            <w:tcW w:type="dxa" w:w="4060"/>
            <w:tcMar>
              <w:top w:w="90" w:type="dxa"/>
              <w:start w:w="120" w:type="dxa"/>
              <w:bottom w:w="90" w:type="dxa"/>
              <w:end w:w="120" w:type="dxa"/>
            </w:tcMar>
            <w:vAlign w:val="center"/>
          </w:tcPr>
          <w:p>
            <w:pPr>
              <w:pStyle w:val="TableText"/>
              <w:jc w:val="left"/>
            </w:pPr>
            <w:r>
              <w:rPr>
                <w:rFonts w:ascii="Calibri" w:hAnsi="Calibri" w:eastAsia="Calibri"/>
                <w:b w:val="0"/>
                <w:color w:val="1F2933"/>
                <w:sz w:val="18"/>
              </w:rPr>
              <w:t>Quality improvement and accreditation</w:t>
            </w:r>
          </w:p>
        </w:tc>
      </w:tr>
      <w:tr>
        <w:trPr>
          <w:cantSplit w:val="true"/>
        </w:trPr>
        <w:tc>
          <w:tcPr>
            <w:tcW w:type="dxa" w:w="1800"/>
            <w:tcMar>
              <w:top w:w="90" w:type="dxa"/>
              <w:start w:w="120" w:type="dxa"/>
              <w:bottom w:w="90" w:type="dxa"/>
              <w:end w:w="120" w:type="dxa"/>
            </w:tcMar>
            <w:vAlign w:val="center"/>
            <w:shd w:fill="F4F6F9"/>
          </w:tcPr>
          <w:p>
            <w:pPr>
              <w:pStyle w:val="TableText"/>
              <w:jc w:val="left"/>
            </w:pPr>
            <w:r>
              <w:rPr>
                <w:rFonts w:ascii="Calibri" w:hAnsi="Calibri" w:eastAsia="Calibri"/>
                <w:b w:val="0"/>
                <w:color w:val="1F2933"/>
                <w:sz w:val="18"/>
              </w:rPr>
              <w:t>Programme implementation</w:t>
            </w:r>
          </w:p>
        </w:tc>
        <w:tc>
          <w:tcPr>
            <w:tcW w:type="dxa" w:w="3500"/>
            <w:tcMar>
              <w:top w:w="90" w:type="dxa"/>
              <w:start w:w="120" w:type="dxa"/>
              <w:bottom w:w="90" w:type="dxa"/>
              <w:end w:w="120" w:type="dxa"/>
            </w:tcMar>
            <w:vAlign w:val="center"/>
            <w:shd w:fill="F4F6F9"/>
          </w:tcPr>
          <w:p>
            <w:pPr>
              <w:pStyle w:val="TableText"/>
              <w:jc w:val="left"/>
            </w:pPr>
            <w:r>
              <w:rPr>
                <w:rFonts w:ascii="Calibri" w:hAnsi="Calibri" w:eastAsia="Calibri"/>
                <w:b w:val="0"/>
                <w:color w:val="1F2933"/>
                <w:sz w:val="18"/>
              </w:rPr>
              <w:t>NAP/SAP outputs, funding, coverage and deadlines</w:t>
            </w:r>
          </w:p>
        </w:tc>
        <w:tc>
          <w:tcPr>
            <w:tcW w:type="dxa" w:w="4060"/>
            <w:tcMar>
              <w:top w:w="90" w:type="dxa"/>
              <w:start w:w="120" w:type="dxa"/>
              <w:bottom w:w="90" w:type="dxa"/>
              <w:end w:w="120" w:type="dxa"/>
            </w:tcMar>
            <w:vAlign w:val="center"/>
            <w:shd w:fill="F4F6F9"/>
          </w:tcPr>
          <w:p>
            <w:pPr>
              <w:pStyle w:val="TableText"/>
              <w:jc w:val="left"/>
            </w:pPr>
            <w:r>
              <w:rPr>
                <w:rFonts w:ascii="Calibri" w:hAnsi="Calibri" w:eastAsia="Calibri"/>
                <w:b w:val="0"/>
                <w:color w:val="1F2933"/>
                <w:sz w:val="18"/>
              </w:rPr>
              <w:t>Accountability and resource allocation</w:t>
            </w:r>
          </w:p>
        </w:tc>
      </w:tr>
    </w:tbl>
    <w:p>
      <w:pPr>
        <w:spacing w:after="40"/>
      </w:pPr>
    </w:p>
    <w:p>
      <w:pPr>
        <w:pStyle w:val="Heading2"/>
      </w:pPr>
      <w:r>
        <w:rPr>
          <w:rFonts w:ascii="Calibri" w:hAnsi="Calibri" w:eastAsia="Calibri"/>
          <w:b/>
          <w:color w:val="2E74B5"/>
          <w:sz w:val="26"/>
        </w:rPr>
        <w:t>7.2 Denominators and representativeness</w:t>
      </w:r>
    </w:p>
    <w:p>
      <w:r>
        <w:rPr>
          <w:rFonts w:ascii="Calibri" w:hAnsi="Calibri" w:eastAsia="Calibri"/>
          <w:b w:val="0"/>
          <w:color w:val="1F2933"/>
        </w:rPr>
        <w:t>No rate should be published without a denominator and sampling context. The platform must distinguish:</w:t>
      </w:r>
    </w:p>
    <w:p>
      <w:pPr>
        <w:jc w:val="left"/>
        <w:numPr>
          <w:ilvl w:val="0"/>
          <w:numId w:val="10"/>
        </w:numPr>
      </w:pPr>
      <w:r>
        <w:rPr>
          <w:rFonts w:ascii="Calibri" w:hAnsi="Calibri" w:eastAsia="Calibri"/>
          <w:b w:val="0"/>
          <w:color w:val="1F2933"/>
        </w:rPr>
        <w:t>Routine diagnostic isolates from structured surveys.</w:t>
      </w:r>
    </w:p>
    <w:p>
      <w:pPr>
        <w:jc w:val="left"/>
        <w:numPr>
          <w:ilvl w:val="0"/>
          <w:numId w:val="10"/>
        </w:numPr>
      </w:pPr>
      <w:r>
        <w:rPr>
          <w:rFonts w:ascii="Calibri" w:hAnsi="Calibri" w:eastAsia="Calibri"/>
          <w:b w:val="0"/>
          <w:color w:val="1F2933"/>
        </w:rPr>
        <w:t>Clinical disease samples from healthy-animal/food/environment sampling.</w:t>
      </w:r>
    </w:p>
    <w:p>
      <w:pPr>
        <w:jc w:val="left"/>
        <w:numPr>
          <w:ilvl w:val="0"/>
          <w:numId w:val="10"/>
        </w:numPr>
      </w:pPr>
      <w:r>
        <w:rPr>
          <w:rFonts w:ascii="Calibri" w:hAnsi="Calibri" w:eastAsia="Calibri"/>
          <w:b w:val="0"/>
          <w:color w:val="1F2933"/>
        </w:rPr>
        <w:t>First isolate from repeat isolates.</w:t>
      </w:r>
    </w:p>
    <w:p>
      <w:pPr>
        <w:jc w:val="left"/>
        <w:numPr>
          <w:ilvl w:val="0"/>
          <w:numId w:val="10"/>
        </w:numPr>
      </w:pPr>
      <w:r>
        <w:rPr>
          <w:rFonts w:ascii="Calibri" w:hAnsi="Calibri" w:eastAsia="Calibri"/>
          <w:b w:val="0"/>
          <w:color w:val="1F2933"/>
        </w:rPr>
        <w:t>Tested isolates from all eligible isolates.</w:t>
      </w:r>
    </w:p>
    <w:p>
      <w:pPr>
        <w:jc w:val="left"/>
        <w:numPr>
          <w:ilvl w:val="0"/>
          <w:numId w:val="10"/>
        </w:numPr>
      </w:pPr>
      <w:r>
        <w:rPr>
          <w:rFonts w:ascii="Calibri" w:hAnsi="Calibri" w:eastAsia="Calibri"/>
          <w:b w:val="0"/>
          <w:color w:val="1F2933"/>
        </w:rPr>
        <w:t>Facility population, patient-days, bed-days, device-days or surgeries.</w:t>
      </w:r>
    </w:p>
    <w:p>
      <w:pPr>
        <w:jc w:val="left"/>
        <w:numPr>
          <w:ilvl w:val="0"/>
          <w:numId w:val="10"/>
        </w:numPr>
      </w:pPr>
      <w:r>
        <w:rPr>
          <w:rFonts w:ascii="Calibri" w:hAnsi="Calibri" w:eastAsia="Calibri"/>
          <w:b w:val="0"/>
          <w:color w:val="1F2933"/>
        </w:rPr>
        <w:t>Animal population/biomass, farm count and production units.</w:t>
      </w:r>
    </w:p>
    <w:p>
      <w:pPr>
        <w:jc w:val="left"/>
        <w:numPr>
          <w:ilvl w:val="0"/>
          <w:numId w:val="10"/>
        </w:numPr>
      </w:pPr>
      <w:r>
        <w:rPr>
          <w:rFonts w:ascii="Calibri" w:hAnsi="Calibri" w:eastAsia="Calibri"/>
          <w:b w:val="0"/>
          <w:color w:val="1F2933"/>
        </w:rPr>
        <w:t>Geographic population and participating-site coverage.</w:t>
      </w:r>
    </w:p>
    <w:p>
      <w:r>
        <w:rPr>
          <w:rFonts w:ascii="Calibri" w:hAnsi="Calibri" w:eastAsia="Calibri"/>
          <w:b w:val="0"/>
          <w:color w:val="1F2933"/>
        </w:rPr>
        <w:t>Every dashboard must display coverage, missingness, participating-site mix and confidence/uncertainty. National estimates must use an approved weighting or survey design; a simple pooled rate across convenience sites must not be labelled nationally representative.</w:t>
      </w:r>
    </w:p>
    <w:p>
      <w:pPr>
        <w:pStyle w:val="Heading2"/>
      </w:pPr>
      <w:r>
        <w:rPr>
          <w:rFonts w:ascii="Calibri" w:hAnsi="Calibri" w:eastAsia="Calibri"/>
          <w:b/>
          <w:color w:val="2E74B5"/>
          <w:sz w:val="26"/>
        </w:rPr>
        <w:t>7.3 Resistance calculation</w:t>
      </w:r>
    </w:p>
    <w:p>
      <w:r>
        <w:rPr>
          <w:rFonts w:ascii="Calibri" w:hAnsi="Calibri" w:eastAsia="Calibri"/>
          <w:b w:val="0"/>
          <w:color w:val="1F2933"/>
        </w:rPr>
        <w:t>For standard isolate-based resistance displays:</w:t>
      </w:r>
    </w:p>
    <w:p>
      <w:pPr>
        <w:jc w:val="center"/>
      </w:pPr>
      <w:r>
        <w:rPr>
          <w:rFonts w:ascii="Consolas" w:hAnsi="Consolas" w:eastAsia="Consolas"/>
          <w:color w:val="1F4D78"/>
          <w:sz w:val="20"/>
        </w:rPr>
        <w:t>Resistance percent = R / (R + I + S) × 100</w:t>
      </w:r>
    </w:p>
    <w:p>
      <w:r>
        <w:rPr>
          <w:rFonts w:ascii="Calibri" w:hAnsi="Calibri" w:eastAsia="Calibri"/>
          <w:b w:val="0"/>
          <w:color w:val="1F2933"/>
        </w:rPr>
        <w:t xml:space="preserve">The calculation must record how </w:t>
      </w:r>
      <w:r>
        <w:rPr>
          <w:rFonts w:ascii="Consolas" w:hAnsi="Consolas" w:eastAsia="Consolas"/>
          <w:color w:val="1F4D78"/>
          <w:sz w:val="20"/>
        </w:rPr>
        <w:t>I</w:t>
      </w:r>
      <w:r>
        <w:rPr>
          <w:rFonts w:ascii="Calibri" w:hAnsi="Calibri" w:eastAsia="Calibri"/>
          <w:b w:val="0"/>
          <w:color w:val="1F2933"/>
        </w:rPr>
        <w:t xml:space="preserve"> is treated for each published measure, follow the selected standard/version, apply approved deduplication, display the denominator and a confidence interval, and suppress or flag small denominators. The current AMRIT implementation is a sound starting point, but the methodology service must version every rule.</w:t>
      </w:r>
    </w:p>
    <w:p>
      <w:pPr>
        <w:pStyle w:val="Heading2"/>
      </w:pPr>
      <w:r>
        <w:rPr>
          <w:rFonts w:ascii="Calibri" w:hAnsi="Calibri" w:eastAsia="Calibri"/>
          <w:b/>
          <w:color w:val="2E74B5"/>
          <w:sz w:val="26"/>
        </w:rPr>
        <w:t>7.4 Alert framework</w:t>
      </w:r>
    </w:p>
    <w:p>
      <w:r>
        <w:rPr>
          <w:rFonts w:ascii="Calibri" w:hAnsi="Calibri" w:eastAsia="Calibri"/>
          <w:b w:val="0"/>
          <w:color w:val="1F2933"/>
        </w:rPr>
        <w:t>Alerts should combine deterministic public-health rules with statistically validated anomaly detection.</w:t>
      </w:r>
    </w:p>
    <w:tbl>
      <w:tblPr>
        <w:tblW w:type="dxa" w:w="9360"/>
        <w:jc w:val="left"/>
        <w:tblLayout w:type="fixed"/>
        <w:tblLook w:firstColumn="1" w:firstRow="1" w:lastColumn="0" w:lastRow="0" w:noHBand="0" w:noVBand="1" w:val="04A0"/>
        <w:tblInd w:w="120" w:type="dxa"/>
        <w:tblBorders>
          <w:top w:val="single" w:sz="6" w:space="0" w:color="D9E1E8"/>
          <w:left w:val="single" w:sz="6" w:space="0" w:color="D9E1E8"/>
          <w:bottom w:val="single" w:sz="6" w:space="0" w:color="D9E1E8"/>
          <w:right w:val="single" w:sz="6" w:space="0" w:color="D9E1E8"/>
          <w:insideH w:val="single" w:sz="6" w:space="0" w:color="D9E1E8"/>
          <w:insideV w:val="single" w:sz="6" w:space="0" w:color="D9E1E8"/>
        </w:tblBorders>
      </w:tblPr>
      <w:tblGrid>
        <w:gridCol w:w="1800"/>
        <w:gridCol w:w="3500"/>
        <w:gridCol w:w="4060"/>
      </w:tblGrid>
      <w:tr>
        <w:trPr>
          <w:tblHeader w:val="true"/>
          <w:cantSplit w:val="true"/>
        </w:trPr>
        <w:tc>
          <w:tcPr>
            <w:tcW w:type="dxa" w:w="1800"/>
            <w:tcMar>
              <w:top w:w="90" w:type="dxa"/>
              <w:start w:w="120" w:type="dxa"/>
              <w:bottom w:w="90" w:type="dxa"/>
              <w:end w:w="120" w:type="dxa"/>
            </w:tcMar>
            <w:vAlign w:val="center"/>
            <w:shd w:fill="17365D"/>
          </w:tcPr>
          <w:p>
            <w:pPr>
              <w:pStyle w:val="TableText"/>
              <w:jc w:val="left"/>
            </w:pPr>
            <w:r>
              <w:rPr>
                <w:rFonts w:ascii="Calibri" w:hAnsi="Calibri" w:eastAsia="Calibri"/>
                <w:b/>
                <w:color w:val="FFFFFF"/>
                <w:sz w:val="18"/>
              </w:rPr>
              <w:t>Level</w:t>
            </w:r>
          </w:p>
        </w:tc>
        <w:tc>
          <w:tcPr>
            <w:tcW w:type="dxa" w:w="3500"/>
            <w:tcMar>
              <w:top w:w="90" w:type="dxa"/>
              <w:start w:w="120" w:type="dxa"/>
              <w:bottom w:w="90" w:type="dxa"/>
              <w:end w:w="120" w:type="dxa"/>
            </w:tcMar>
            <w:vAlign w:val="center"/>
            <w:shd w:fill="17365D"/>
          </w:tcPr>
          <w:p>
            <w:pPr>
              <w:pStyle w:val="TableText"/>
              <w:jc w:val="left"/>
            </w:pPr>
            <w:r>
              <w:rPr>
                <w:rFonts w:ascii="Calibri" w:hAnsi="Calibri" w:eastAsia="Calibri"/>
                <w:b/>
                <w:color w:val="FFFFFF"/>
                <w:sz w:val="18"/>
              </w:rPr>
              <w:t>Example trigger</w:t>
            </w:r>
          </w:p>
        </w:tc>
        <w:tc>
          <w:tcPr>
            <w:tcW w:type="dxa" w:w="4060"/>
            <w:tcMar>
              <w:top w:w="90" w:type="dxa"/>
              <w:start w:w="120" w:type="dxa"/>
              <w:bottom w:w="90" w:type="dxa"/>
              <w:end w:w="120" w:type="dxa"/>
            </w:tcMar>
            <w:vAlign w:val="center"/>
            <w:shd w:fill="17365D"/>
          </w:tcPr>
          <w:p>
            <w:pPr>
              <w:pStyle w:val="TableText"/>
              <w:jc w:val="left"/>
            </w:pPr>
            <w:r>
              <w:rPr>
                <w:rFonts w:ascii="Calibri" w:hAnsi="Calibri" w:eastAsia="Calibri"/>
                <w:b/>
                <w:color w:val="FFFFFF"/>
                <w:sz w:val="18"/>
              </w:rPr>
              <w:t>Required response</w:t>
            </w:r>
          </w:p>
        </w:tc>
      </w:tr>
      <w:tr>
        <w:trPr>
          <w:cantSplit w:val="true"/>
        </w:trPr>
        <w:tc>
          <w:tcPr>
            <w:tcW w:type="dxa" w:w="1800"/>
            <w:tcMar>
              <w:top w:w="90" w:type="dxa"/>
              <w:start w:w="120" w:type="dxa"/>
              <w:bottom w:w="90" w:type="dxa"/>
              <w:end w:w="120" w:type="dxa"/>
            </w:tcMar>
            <w:vAlign w:val="center"/>
          </w:tcPr>
          <w:p>
            <w:pPr>
              <w:pStyle w:val="TableText"/>
              <w:jc w:val="left"/>
            </w:pPr>
            <w:r>
              <w:rPr>
                <w:rFonts w:ascii="Calibri" w:hAnsi="Calibri" w:eastAsia="Calibri"/>
                <w:b w:val="0"/>
                <w:color w:val="1F2933"/>
                <w:sz w:val="18"/>
              </w:rPr>
              <w:t>Information</w:t>
            </w:r>
          </w:p>
        </w:tc>
        <w:tc>
          <w:tcPr>
            <w:tcW w:type="dxa" w:w="3500"/>
            <w:tcMar>
              <w:top w:w="90" w:type="dxa"/>
              <w:start w:w="120" w:type="dxa"/>
              <w:bottom w:w="90" w:type="dxa"/>
              <w:end w:w="120" w:type="dxa"/>
            </w:tcMar>
            <w:vAlign w:val="center"/>
          </w:tcPr>
          <w:p>
            <w:pPr>
              <w:pStyle w:val="TableText"/>
              <w:jc w:val="left"/>
            </w:pPr>
            <w:r>
              <w:rPr>
                <w:rFonts w:ascii="Calibri" w:hAnsi="Calibri" w:eastAsia="Calibri"/>
                <w:b w:val="0"/>
                <w:color w:val="1F2933"/>
                <w:sz w:val="18"/>
              </w:rPr>
              <w:t>Data-quality drop, delayed feed, low denominator</w:t>
            </w:r>
          </w:p>
        </w:tc>
        <w:tc>
          <w:tcPr>
            <w:tcW w:type="dxa" w:w="4060"/>
            <w:tcMar>
              <w:top w:w="90" w:type="dxa"/>
              <w:start w:w="120" w:type="dxa"/>
              <w:bottom w:w="90" w:type="dxa"/>
              <w:end w:w="120" w:type="dxa"/>
            </w:tcMar>
            <w:vAlign w:val="center"/>
          </w:tcPr>
          <w:p>
            <w:pPr>
              <w:pStyle w:val="TableText"/>
              <w:jc w:val="left"/>
            </w:pPr>
            <w:r>
              <w:rPr>
                <w:rFonts w:ascii="Calibri" w:hAnsi="Calibri" w:eastAsia="Calibri"/>
                <w:b w:val="0"/>
                <w:color w:val="1F2933"/>
                <w:sz w:val="18"/>
              </w:rPr>
              <w:t>Data steward review</w:t>
            </w:r>
          </w:p>
        </w:tc>
      </w:tr>
      <w:tr>
        <w:trPr>
          <w:cantSplit w:val="true"/>
        </w:trPr>
        <w:tc>
          <w:tcPr>
            <w:tcW w:type="dxa" w:w="1800"/>
            <w:tcMar>
              <w:top w:w="90" w:type="dxa"/>
              <w:start w:w="120" w:type="dxa"/>
              <w:bottom w:w="90" w:type="dxa"/>
              <w:end w:w="120" w:type="dxa"/>
            </w:tcMar>
            <w:vAlign w:val="center"/>
            <w:shd w:fill="F4F6F9"/>
          </w:tcPr>
          <w:p>
            <w:pPr>
              <w:pStyle w:val="TableText"/>
              <w:jc w:val="left"/>
            </w:pPr>
            <w:r>
              <w:rPr>
                <w:rFonts w:ascii="Calibri" w:hAnsi="Calibri" w:eastAsia="Calibri"/>
                <w:b w:val="0"/>
                <w:color w:val="1F2933"/>
                <w:sz w:val="18"/>
              </w:rPr>
              <w:t>Watch</w:t>
            </w:r>
          </w:p>
        </w:tc>
        <w:tc>
          <w:tcPr>
            <w:tcW w:type="dxa" w:w="3500"/>
            <w:tcMar>
              <w:top w:w="90" w:type="dxa"/>
              <w:start w:w="120" w:type="dxa"/>
              <w:bottom w:w="90" w:type="dxa"/>
              <w:end w:w="120" w:type="dxa"/>
            </w:tcMar>
            <w:vAlign w:val="center"/>
            <w:shd w:fill="F4F6F9"/>
          </w:tcPr>
          <w:p>
            <w:pPr>
              <w:pStyle w:val="TableText"/>
              <w:jc w:val="left"/>
            </w:pPr>
            <w:r>
              <w:rPr>
                <w:rFonts w:ascii="Calibri" w:hAnsi="Calibri" w:eastAsia="Calibri"/>
                <w:b w:val="0"/>
                <w:color w:val="1F2933"/>
                <w:sz w:val="18"/>
              </w:rPr>
              <w:t>Sustained increase above baseline or threshold</w:t>
            </w:r>
          </w:p>
        </w:tc>
        <w:tc>
          <w:tcPr>
            <w:tcW w:type="dxa" w:w="4060"/>
            <w:tcMar>
              <w:top w:w="90" w:type="dxa"/>
              <w:start w:w="120" w:type="dxa"/>
              <w:bottom w:w="90" w:type="dxa"/>
              <w:end w:w="120" w:type="dxa"/>
            </w:tcMar>
            <w:vAlign w:val="center"/>
            <w:shd w:fill="F4F6F9"/>
          </w:tcPr>
          <w:p>
            <w:pPr>
              <w:pStyle w:val="TableText"/>
              <w:jc w:val="left"/>
            </w:pPr>
            <w:r>
              <w:rPr>
                <w:rFonts w:ascii="Calibri" w:hAnsi="Calibri" w:eastAsia="Calibri"/>
                <w:b w:val="0"/>
                <w:color w:val="1F2933"/>
                <w:sz w:val="18"/>
              </w:rPr>
              <w:t>Facility/district verification</w:t>
            </w:r>
          </w:p>
        </w:tc>
      </w:tr>
      <w:tr>
        <w:trPr>
          <w:cantSplit w:val="true"/>
        </w:trPr>
        <w:tc>
          <w:tcPr>
            <w:tcW w:type="dxa" w:w="1800"/>
            <w:tcMar>
              <w:top w:w="90" w:type="dxa"/>
              <w:start w:w="120" w:type="dxa"/>
              <w:bottom w:w="90" w:type="dxa"/>
              <w:end w:w="120" w:type="dxa"/>
            </w:tcMar>
            <w:vAlign w:val="center"/>
          </w:tcPr>
          <w:p>
            <w:pPr>
              <w:pStyle w:val="TableText"/>
              <w:jc w:val="left"/>
            </w:pPr>
            <w:r>
              <w:rPr>
                <w:rFonts w:ascii="Calibri" w:hAnsi="Calibri" w:eastAsia="Calibri"/>
                <w:b w:val="0"/>
                <w:color w:val="1F2933"/>
                <w:sz w:val="18"/>
              </w:rPr>
              <w:t>Warning</w:t>
            </w:r>
          </w:p>
        </w:tc>
        <w:tc>
          <w:tcPr>
            <w:tcW w:type="dxa" w:w="3500"/>
            <w:tcMar>
              <w:top w:w="90" w:type="dxa"/>
              <w:start w:w="120" w:type="dxa"/>
              <w:bottom w:w="90" w:type="dxa"/>
              <w:end w:w="120" w:type="dxa"/>
            </w:tcMar>
            <w:vAlign w:val="center"/>
          </w:tcPr>
          <w:p>
            <w:pPr>
              <w:pStyle w:val="TableText"/>
              <w:jc w:val="left"/>
            </w:pPr>
            <w:r>
              <w:rPr>
                <w:rFonts w:ascii="Calibri" w:hAnsi="Calibri" w:eastAsia="Calibri"/>
                <w:b w:val="0"/>
                <w:color w:val="1F2933"/>
                <w:sz w:val="18"/>
              </w:rPr>
              <w:t>Confirmed unusual phenotype, cross-facility cluster, Reserve-use surge</w:t>
            </w:r>
          </w:p>
        </w:tc>
        <w:tc>
          <w:tcPr>
            <w:tcW w:type="dxa" w:w="4060"/>
            <w:tcMar>
              <w:top w:w="90" w:type="dxa"/>
              <w:start w:w="120" w:type="dxa"/>
              <w:bottom w:w="90" w:type="dxa"/>
              <w:end w:w="120" w:type="dxa"/>
            </w:tcMar>
            <w:vAlign w:val="center"/>
          </w:tcPr>
          <w:p>
            <w:pPr>
              <w:pStyle w:val="TableText"/>
              <w:jc w:val="left"/>
            </w:pPr>
            <w:r>
              <w:rPr>
                <w:rFonts w:ascii="Calibri" w:hAnsi="Calibri" w:eastAsia="Calibri"/>
                <w:b w:val="0"/>
                <w:color w:val="1F2933"/>
                <w:sz w:val="18"/>
              </w:rPr>
              <w:t>State investigation and action plan</w:t>
            </w:r>
          </w:p>
        </w:tc>
      </w:tr>
      <w:tr>
        <w:trPr>
          <w:cantSplit w:val="true"/>
        </w:trPr>
        <w:tc>
          <w:tcPr>
            <w:tcW w:type="dxa" w:w="1800"/>
            <w:tcMar>
              <w:top w:w="90" w:type="dxa"/>
              <w:start w:w="120" w:type="dxa"/>
              <w:bottom w:w="90" w:type="dxa"/>
              <w:end w:w="120" w:type="dxa"/>
            </w:tcMar>
            <w:vAlign w:val="center"/>
            <w:shd w:fill="F4F6F9"/>
          </w:tcPr>
          <w:p>
            <w:pPr>
              <w:pStyle w:val="TableText"/>
              <w:jc w:val="left"/>
            </w:pPr>
            <w:r>
              <w:rPr>
                <w:rFonts w:ascii="Calibri" w:hAnsi="Calibri" w:eastAsia="Calibri"/>
                <w:b w:val="0"/>
                <w:color w:val="1F2933"/>
                <w:sz w:val="18"/>
              </w:rPr>
              <w:t>Emergency</w:t>
            </w:r>
          </w:p>
        </w:tc>
        <w:tc>
          <w:tcPr>
            <w:tcW w:type="dxa" w:w="3500"/>
            <w:tcMar>
              <w:top w:w="90" w:type="dxa"/>
              <w:start w:w="120" w:type="dxa"/>
              <w:bottom w:w="90" w:type="dxa"/>
              <w:end w:w="120" w:type="dxa"/>
            </w:tcMar>
            <w:vAlign w:val="center"/>
            <w:shd w:fill="F4F6F9"/>
          </w:tcPr>
          <w:p>
            <w:pPr>
              <w:pStyle w:val="TableText"/>
              <w:jc w:val="left"/>
            </w:pPr>
            <w:r>
              <w:rPr>
                <w:rFonts w:ascii="Calibri" w:hAnsi="Calibri" w:eastAsia="Calibri"/>
                <w:b w:val="0"/>
                <w:color w:val="1F2933"/>
                <w:sz w:val="18"/>
              </w:rPr>
              <w:t>Novel/critical mechanism with transmission, major contamination or multi-State signal</w:t>
            </w:r>
          </w:p>
        </w:tc>
        <w:tc>
          <w:tcPr>
            <w:tcW w:type="dxa" w:w="4060"/>
            <w:tcMar>
              <w:top w:w="90" w:type="dxa"/>
              <w:start w:w="120" w:type="dxa"/>
              <w:bottom w:w="90" w:type="dxa"/>
              <w:end w:w="120" w:type="dxa"/>
            </w:tcMar>
            <w:vAlign w:val="center"/>
            <w:shd w:fill="F4F6F9"/>
          </w:tcPr>
          <w:p>
            <w:pPr>
              <w:pStyle w:val="TableText"/>
              <w:jc w:val="left"/>
            </w:pPr>
            <w:r>
              <w:rPr>
                <w:rFonts w:ascii="Calibri" w:hAnsi="Calibri" w:eastAsia="Calibri"/>
                <w:b w:val="0"/>
                <w:color w:val="1F2933"/>
                <w:sz w:val="18"/>
              </w:rPr>
              <w:t>National incident coordination</w:t>
            </w:r>
          </w:p>
        </w:tc>
      </w:tr>
    </w:tbl>
    <w:p>
      <w:pPr>
        <w:spacing w:after="40"/>
      </w:pPr>
    </w:p>
    <w:p>
      <w:r>
        <w:rPr>
          <w:rFonts w:ascii="Calibri" w:hAnsi="Calibri" w:eastAsia="Calibri"/>
          <w:b w:val="0"/>
          <w:color w:val="1F2933"/>
        </w:rPr>
        <w:t>Each alert carries the rule/model version, trigger data, confidence, affected scope, owner, acknowledgement deadline, verification result, playbook, actions, communications and closure evidence. Automatic escalation occurs when SLA expires.</w:t>
      </w:r>
    </w:p>
    <w:p>
      <w:pPr>
        <w:pStyle w:val="Heading2"/>
      </w:pPr>
      <w:r>
        <w:rPr>
          <w:rFonts w:ascii="Calibri" w:hAnsi="Calibri" w:eastAsia="Calibri"/>
          <w:b/>
          <w:color w:val="2E74B5"/>
          <w:sz w:val="26"/>
        </w:rPr>
        <w:t>7.5 Cross-sector risk assessment</w:t>
      </w:r>
    </w:p>
    <w:p>
      <w:r>
        <w:rPr>
          <w:rFonts w:ascii="Calibri" w:hAnsi="Calibri" w:eastAsia="Calibri"/>
          <w:b w:val="0"/>
          <w:color w:val="1F2933"/>
        </w:rPr>
        <w:t>Do not create a single opaque One Health score. Use a transparent structured assessment with separate dimensions:</w:t>
      </w:r>
    </w:p>
    <w:p>
      <w:pPr>
        <w:jc w:val="left"/>
        <w:numPr>
          <w:ilvl w:val="0"/>
          <w:numId w:val="10"/>
        </w:numPr>
      </w:pPr>
      <w:r>
        <w:rPr>
          <w:rFonts w:ascii="Calibri" w:hAnsi="Calibri" w:eastAsia="Calibri"/>
          <w:b w:val="0"/>
          <w:color w:val="1F2933"/>
        </w:rPr>
        <w:t>Hazard severity and novelty.</w:t>
      </w:r>
    </w:p>
    <w:p>
      <w:pPr>
        <w:jc w:val="left"/>
        <w:numPr>
          <w:ilvl w:val="0"/>
          <w:numId w:val="10"/>
        </w:numPr>
      </w:pPr>
      <w:r>
        <w:rPr>
          <w:rFonts w:ascii="Calibri" w:hAnsi="Calibri" w:eastAsia="Calibri"/>
          <w:b w:val="0"/>
          <w:color w:val="1F2933"/>
        </w:rPr>
        <w:t>Evidence strength and laboratory confirmation.</w:t>
      </w:r>
    </w:p>
    <w:p>
      <w:pPr>
        <w:jc w:val="left"/>
        <w:numPr>
          <w:ilvl w:val="0"/>
          <w:numId w:val="10"/>
        </w:numPr>
      </w:pPr>
      <w:r>
        <w:rPr>
          <w:rFonts w:ascii="Calibri" w:hAnsi="Calibri" w:eastAsia="Calibri"/>
          <w:b w:val="0"/>
          <w:color w:val="1F2933"/>
        </w:rPr>
        <w:t>Human/animal/environment exposure.</w:t>
      </w:r>
    </w:p>
    <w:p>
      <w:pPr>
        <w:jc w:val="left"/>
        <w:numPr>
          <w:ilvl w:val="0"/>
          <w:numId w:val="10"/>
        </w:numPr>
      </w:pPr>
      <w:r>
        <w:rPr>
          <w:rFonts w:ascii="Calibri" w:hAnsi="Calibri" w:eastAsia="Calibri"/>
          <w:b w:val="0"/>
          <w:color w:val="1F2933"/>
        </w:rPr>
        <w:t>Transmission/spread potential.</w:t>
      </w:r>
    </w:p>
    <w:p>
      <w:pPr>
        <w:jc w:val="left"/>
        <w:numPr>
          <w:ilvl w:val="0"/>
          <w:numId w:val="10"/>
        </w:numPr>
      </w:pPr>
      <w:r>
        <w:rPr>
          <w:rFonts w:ascii="Calibri" w:hAnsi="Calibri" w:eastAsia="Calibri"/>
          <w:b w:val="0"/>
          <w:color w:val="1F2933"/>
        </w:rPr>
        <w:t>Population and ecosystem vulnerability.</w:t>
      </w:r>
    </w:p>
    <w:p>
      <w:pPr>
        <w:jc w:val="left"/>
        <w:numPr>
          <w:ilvl w:val="0"/>
          <w:numId w:val="10"/>
        </w:numPr>
      </w:pPr>
      <w:r>
        <w:rPr>
          <w:rFonts w:ascii="Calibri" w:hAnsi="Calibri" w:eastAsia="Calibri"/>
          <w:b w:val="0"/>
          <w:color w:val="1F2933"/>
        </w:rPr>
        <w:t>Geographic convergence and temporal sequence.</w:t>
      </w:r>
    </w:p>
    <w:p>
      <w:pPr>
        <w:jc w:val="left"/>
        <w:numPr>
          <w:ilvl w:val="0"/>
          <w:numId w:val="10"/>
        </w:numPr>
      </w:pPr>
      <w:r>
        <w:rPr>
          <w:rFonts w:ascii="Calibri" w:hAnsi="Calibri" w:eastAsia="Calibri"/>
          <w:b w:val="0"/>
          <w:color w:val="1F2933"/>
        </w:rPr>
        <w:t>Response capacity and resource gaps.</w:t>
      </w:r>
    </w:p>
    <w:p>
      <w:pPr>
        <w:jc w:val="left"/>
        <w:numPr>
          <w:ilvl w:val="0"/>
          <w:numId w:val="10"/>
        </w:numPr>
      </w:pPr>
      <w:r>
        <w:rPr>
          <w:rFonts w:ascii="Calibri" w:hAnsi="Calibri" w:eastAsia="Calibri"/>
          <w:b w:val="0"/>
          <w:color w:val="1F2933"/>
        </w:rPr>
        <w:t>Data quality and uncertainty.</w:t>
      </w:r>
    </w:p>
    <w:p>
      <w:r>
        <w:rPr>
          <w:rFonts w:ascii="Calibri" w:hAnsi="Calibri" w:eastAsia="Calibri"/>
          <w:b w:val="0"/>
          <w:color w:val="1F2933"/>
        </w:rPr>
        <w:t>The system may calculate a prioritisation band from approved weights, but must show component scores and allow the authorised joint assessment team to document an override.</w:t>
      </w:r>
    </w:p>
    <w:p>
      <w:pPr>
        <w:pStyle w:val="Heading2"/>
      </w:pPr>
      <w:r>
        <w:rPr>
          <w:rFonts w:ascii="Calibri" w:hAnsi="Calibri" w:eastAsia="Calibri"/>
          <w:b/>
          <w:color w:val="2E74B5"/>
          <w:sz w:val="26"/>
        </w:rPr>
        <w:t>7.6 Forecasting and AI</w:t>
      </w:r>
    </w:p>
    <w:p>
      <w:r>
        <w:rPr>
          <w:rFonts w:ascii="Calibri" w:hAnsi="Calibri" w:eastAsia="Calibri"/>
          <w:b w:val="0"/>
          <w:color w:val="1F2933"/>
        </w:rPr>
        <w:t>Forecasts are introduced only after stable data and back-testing. Requirements:</w:t>
      </w:r>
    </w:p>
    <w:p>
      <w:pPr>
        <w:jc w:val="left"/>
        <w:numPr>
          <w:ilvl w:val="0"/>
          <w:numId w:val="10"/>
        </w:numPr>
      </w:pPr>
      <w:r>
        <w:rPr>
          <w:rFonts w:ascii="Calibri" w:hAnsi="Calibri" w:eastAsia="Calibri"/>
          <w:b w:val="0"/>
          <w:color w:val="1F2933"/>
        </w:rPr>
        <w:t>Pre-specified use case and decision horizon.</w:t>
      </w:r>
    </w:p>
    <w:p>
      <w:pPr>
        <w:jc w:val="left"/>
        <w:numPr>
          <w:ilvl w:val="0"/>
          <w:numId w:val="10"/>
        </w:numPr>
      </w:pPr>
      <w:r>
        <w:rPr>
          <w:rFonts w:ascii="Calibri" w:hAnsi="Calibri" w:eastAsia="Calibri"/>
          <w:b w:val="0"/>
          <w:color w:val="1F2933"/>
        </w:rPr>
        <w:t>Training-data lineage and population relevance.</w:t>
      </w:r>
    </w:p>
    <w:p>
      <w:pPr>
        <w:jc w:val="left"/>
        <w:numPr>
          <w:ilvl w:val="0"/>
          <w:numId w:val="10"/>
        </w:numPr>
      </w:pPr>
      <w:r>
        <w:rPr>
          <w:rFonts w:ascii="Calibri" w:hAnsi="Calibri" w:eastAsia="Calibri"/>
          <w:b w:val="0"/>
          <w:color w:val="1F2933"/>
        </w:rPr>
        <w:t>Temporal and geographic validation.</w:t>
      </w:r>
    </w:p>
    <w:p>
      <w:pPr>
        <w:jc w:val="left"/>
        <w:numPr>
          <w:ilvl w:val="0"/>
          <w:numId w:val="10"/>
        </w:numPr>
      </w:pPr>
      <w:r>
        <w:rPr>
          <w:rFonts w:ascii="Calibri" w:hAnsi="Calibri" w:eastAsia="Calibri"/>
          <w:b w:val="0"/>
          <w:color w:val="1F2933"/>
        </w:rPr>
        <w:t>Calibration, uncertainty and drift monitoring.</w:t>
      </w:r>
    </w:p>
    <w:p>
      <w:pPr>
        <w:jc w:val="left"/>
        <w:numPr>
          <w:ilvl w:val="0"/>
          <w:numId w:val="10"/>
        </w:numPr>
      </w:pPr>
      <w:r>
        <w:rPr>
          <w:rFonts w:ascii="Calibri" w:hAnsi="Calibri" w:eastAsia="Calibri"/>
          <w:b w:val="0"/>
          <w:color w:val="1F2933"/>
        </w:rPr>
        <w:t>Comparison with a simple baseline.</w:t>
      </w:r>
    </w:p>
    <w:p>
      <w:pPr>
        <w:jc w:val="left"/>
        <w:numPr>
          <w:ilvl w:val="0"/>
          <w:numId w:val="10"/>
        </w:numPr>
      </w:pPr>
      <w:r>
        <w:rPr>
          <w:rFonts w:ascii="Calibri" w:hAnsi="Calibri" w:eastAsia="Calibri"/>
          <w:b w:val="0"/>
          <w:color w:val="1F2933"/>
        </w:rPr>
        <w:t>Model card, limitations and subgroup/region performance.</w:t>
      </w:r>
    </w:p>
    <w:p>
      <w:pPr>
        <w:jc w:val="left"/>
        <w:numPr>
          <w:ilvl w:val="0"/>
          <w:numId w:val="10"/>
        </w:numPr>
      </w:pPr>
      <w:r>
        <w:rPr>
          <w:rFonts w:ascii="Calibri" w:hAnsi="Calibri" w:eastAsia="Calibri"/>
          <w:b w:val="0"/>
          <w:color w:val="1F2933"/>
        </w:rPr>
        <w:t>Human approval for operational recommendations.</w:t>
      </w:r>
    </w:p>
    <w:p>
      <w:pPr>
        <w:jc w:val="left"/>
        <w:numPr>
          <w:ilvl w:val="0"/>
          <w:numId w:val="10"/>
        </w:numPr>
      </w:pPr>
      <w:r>
        <w:rPr>
          <w:rFonts w:ascii="Calibri" w:hAnsi="Calibri" w:eastAsia="Calibri"/>
          <w:b w:val="0"/>
          <w:color w:val="1F2933"/>
        </w:rPr>
        <w:t>Reproducible versioned pipeline and ability to disable the model.</w:t>
      </w:r>
    </w:p>
    <w:p>
      <w:r>
        <w:rPr>
          <w:rFonts w:ascii="Calibri" w:hAnsi="Calibri" w:eastAsia="Calibri"/>
          <w:b w:val="0"/>
          <w:color w:val="1F2933"/>
        </w:rPr>
        <w:t>Local LLM features must never be the authoritative calculator for resistance rates, alerts or policy decisions. They may assist with plain-language summaries, coding suggestions or draft reports when source evidence is linked and human-reviewed.</w:t>
      </w:r>
    </w:p>
    <w:p>
      <w:pPr>
        <w:pStyle w:val="Heading1"/>
      </w:pPr>
      <w:r>
        <w:rPr>
          <w:rFonts w:ascii="Calibri" w:hAnsi="Calibri" w:eastAsia="Calibri"/>
          <w:b/>
          <w:color w:val="2E74B5"/>
          <w:sz w:val="32"/>
        </w:rPr>
        <w:t>8. Data governance, privacy, ethics and cybersecurity</w:t>
      </w:r>
    </w:p>
    <w:p>
      <w:pPr>
        <w:pStyle w:val="Heading2"/>
      </w:pPr>
      <w:r>
        <w:rPr>
          <w:rFonts w:ascii="Calibri" w:hAnsi="Calibri" w:eastAsia="Calibri"/>
          <w:b/>
          <w:color w:val="2E74B5"/>
          <w:sz w:val="26"/>
        </w:rPr>
        <w:t>8.1 Governance controls</w:t>
      </w:r>
    </w:p>
    <w:p>
      <w:pPr>
        <w:jc w:val="left"/>
        <w:numPr>
          <w:ilvl w:val="0"/>
          <w:numId w:val="10"/>
        </w:numPr>
      </w:pPr>
      <w:r>
        <w:rPr>
          <w:rFonts w:ascii="Calibri" w:hAnsi="Calibri" w:eastAsia="Calibri"/>
          <w:b w:val="0"/>
          <w:color w:val="1F2933"/>
        </w:rPr>
        <w:t>National AMR Data Governance Board with sector and State/UT representation.</w:t>
      </w:r>
    </w:p>
    <w:p>
      <w:pPr>
        <w:jc w:val="left"/>
        <w:numPr>
          <w:ilvl w:val="0"/>
          <w:numId w:val="10"/>
        </w:numPr>
      </w:pPr>
      <w:r>
        <w:rPr>
          <w:rFonts w:ascii="Calibri" w:hAnsi="Calibri" w:eastAsia="Calibri"/>
          <w:b w:val="0"/>
          <w:color w:val="1F2933"/>
        </w:rPr>
        <w:t>Data-product approval and change-control process.</w:t>
      </w:r>
    </w:p>
    <w:p>
      <w:pPr>
        <w:jc w:val="left"/>
        <w:numPr>
          <w:ilvl w:val="0"/>
          <w:numId w:val="10"/>
        </w:numPr>
      </w:pPr>
      <w:r>
        <w:rPr>
          <w:rFonts w:ascii="Calibri" w:hAnsi="Calibri" w:eastAsia="Calibri"/>
          <w:b w:val="0"/>
          <w:color w:val="1F2933"/>
        </w:rPr>
        <w:t>Data-sharing agreements and standard schedules per sector/use case.</w:t>
      </w:r>
    </w:p>
    <w:p>
      <w:pPr>
        <w:jc w:val="left"/>
        <w:numPr>
          <w:ilvl w:val="0"/>
          <w:numId w:val="10"/>
        </w:numPr>
      </w:pPr>
      <w:r>
        <w:rPr>
          <w:rFonts w:ascii="Calibri" w:hAnsi="Calibri" w:eastAsia="Calibri"/>
          <w:b w:val="0"/>
          <w:color w:val="1F2933"/>
        </w:rPr>
        <w:t>Role/purpose-based access with least privilege and periodic recertification.</w:t>
      </w:r>
    </w:p>
    <w:p>
      <w:pPr>
        <w:jc w:val="left"/>
        <w:numPr>
          <w:ilvl w:val="0"/>
          <w:numId w:val="10"/>
        </w:numPr>
      </w:pPr>
      <w:r>
        <w:rPr>
          <w:rFonts w:ascii="Calibri" w:hAnsi="Calibri" w:eastAsia="Calibri"/>
          <w:b w:val="0"/>
          <w:color w:val="1F2933"/>
        </w:rPr>
        <w:t>Data Protection Impact Assessment for each personal-data workflow.</w:t>
      </w:r>
    </w:p>
    <w:p>
      <w:pPr>
        <w:jc w:val="left"/>
        <w:numPr>
          <w:ilvl w:val="0"/>
          <w:numId w:val="10"/>
        </w:numPr>
      </w:pPr>
      <w:r>
        <w:rPr>
          <w:rFonts w:ascii="Calibri" w:hAnsi="Calibri" w:eastAsia="Calibri"/>
          <w:b w:val="0"/>
          <w:color w:val="1F2933"/>
        </w:rPr>
        <w:t>Ethics and scientific review for research access.</w:t>
      </w:r>
    </w:p>
    <w:p>
      <w:pPr>
        <w:jc w:val="left"/>
        <w:numPr>
          <w:ilvl w:val="0"/>
          <w:numId w:val="10"/>
        </w:numPr>
      </w:pPr>
      <w:r>
        <w:rPr>
          <w:rFonts w:ascii="Calibri" w:hAnsi="Calibri" w:eastAsia="Calibri"/>
          <w:b w:val="0"/>
          <w:color w:val="1F2933"/>
        </w:rPr>
        <w:t>Public release committee with small-cell and re-identification review.</w:t>
      </w:r>
    </w:p>
    <w:p>
      <w:pPr>
        <w:jc w:val="left"/>
        <w:numPr>
          <w:ilvl w:val="0"/>
          <w:numId w:val="10"/>
        </w:numPr>
      </w:pPr>
      <w:r>
        <w:rPr>
          <w:rFonts w:ascii="Calibri" w:hAnsi="Calibri" w:eastAsia="Calibri"/>
          <w:b w:val="0"/>
          <w:color w:val="1F2933"/>
        </w:rPr>
        <w:t>Incident notification, grievance and correction processes.</w:t>
      </w:r>
    </w:p>
    <w:p>
      <w:pPr>
        <w:pStyle w:val="Heading2"/>
      </w:pPr>
      <w:r>
        <w:rPr>
          <w:rFonts w:ascii="Calibri" w:hAnsi="Calibri" w:eastAsia="Calibri"/>
          <w:b/>
          <w:color w:val="2E74B5"/>
          <w:sz w:val="26"/>
        </w:rPr>
        <w:t>8.2 Privacy design</w:t>
      </w:r>
    </w:p>
    <w:p>
      <w:pPr>
        <w:jc w:val="left"/>
        <w:numPr>
          <w:ilvl w:val="0"/>
          <w:numId w:val="10"/>
        </w:numPr>
      </w:pPr>
      <w:r>
        <w:rPr>
          <w:rFonts w:ascii="Calibri" w:hAnsi="Calibri" w:eastAsia="Calibri"/>
          <w:b w:val="0"/>
          <w:color w:val="1F2933"/>
        </w:rPr>
        <w:t>Default to aggregate queries and local computation.</w:t>
      </w:r>
    </w:p>
    <w:p>
      <w:pPr>
        <w:jc w:val="left"/>
        <w:numPr>
          <w:ilvl w:val="0"/>
          <w:numId w:val="10"/>
        </w:numPr>
      </w:pPr>
      <w:r>
        <w:rPr>
          <w:rFonts w:ascii="Calibri" w:hAnsi="Calibri" w:eastAsia="Calibri"/>
          <w:b w:val="0"/>
          <w:color w:val="1F2933"/>
        </w:rPr>
        <w:t>Separate direct care, statutory surveillance, programme monitoring, research and public purposes.</w:t>
      </w:r>
    </w:p>
    <w:p>
      <w:pPr>
        <w:jc w:val="left"/>
        <w:numPr>
          <w:ilvl w:val="0"/>
          <w:numId w:val="10"/>
        </w:numPr>
      </w:pPr>
      <w:r>
        <w:rPr>
          <w:rFonts w:ascii="Calibri" w:hAnsi="Calibri" w:eastAsia="Calibri"/>
          <w:b w:val="0"/>
          <w:color w:val="1F2933"/>
        </w:rPr>
        <w:t>Do not use ABHA or Aadhaar as the national surveillance key.</w:t>
      </w:r>
    </w:p>
    <w:p>
      <w:pPr>
        <w:jc w:val="left"/>
        <w:numPr>
          <w:ilvl w:val="0"/>
          <w:numId w:val="10"/>
        </w:numPr>
      </w:pPr>
      <w:r>
        <w:rPr>
          <w:rFonts w:ascii="Calibri" w:hAnsi="Calibri" w:eastAsia="Calibri"/>
          <w:b w:val="0"/>
          <w:color w:val="1F2933"/>
        </w:rPr>
        <w:t>Use facility-local patient identifiers for care; use salted, rotating or purpose-specific tokens only when authorised longitudinal analysis is essential.</w:t>
      </w:r>
    </w:p>
    <w:p>
      <w:pPr>
        <w:jc w:val="left"/>
        <w:numPr>
          <w:ilvl w:val="0"/>
          <w:numId w:val="10"/>
        </w:numPr>
      </w:pPr>
      <w:r>
        <w:rPr>
          <w:rFonts w:ascii="Calibri" w:hAnsi="Calibri" w:eastAsia="Calibri"/>
          <w:b w:val="0"/>
          <w:color w:val="1F2933"/>
        </w:rPr>
        <w:t>Suppress small cells, coarsen geography/time and combine complementary suppression for public data.</w:t>
      </w:r>
    </w:p>
    <w:p>
      <w:pPr>
        <w:jc w:val="left"/>
        <w:numPr>
          <w:ilvl w:val="0"/>
          <w:numId w:val="10"/>
        </w:numPr>
      </w:pPr>
      <w:r>
        <w:rPr>
          <w:rFonts w:ascii="Calibri" w:hAnsi="Calibri" w:eastAsia="Calibri"/>
          <w:b w:val="0"/>
          <w:color w:val="1F2933"/>
        </w:rPr>
        <w:t>Prevent differencing attacks across overlapping queries through a privacy budget/query-history policy.</w:t>
      </w:r>
    </w:p>
    <w:p>
      <w:pPr>
        <w:jc w:val="left"/>
        <w:numPr>
          <w:ilvl w:val="0"/>
          <w:numId w:val="10"/>
        </w:numPr>
      </w:pPr>
      <w:r>
        <w:rPr>
          <w:rFonts w:ascii="Calibri" w:hAnsi="Calibri" w:eastAsia="Calibri"/>
          <w:b w:val="0"/>
          <w:color w:val="1F2933"/>
        </w:rPr>
        <w:t>Record every access, export, query and policy decision.</w:t>
      </w:r>
    </w:p>
    <w:p>
      <w:pPr>
        <w:jc w:val="left"/>
        <w:numPr>
          <w:ilvl w:val="0"/>
          <w:numId w:val="10"/>
        </w:numPr>
      </w:pPr>
      <w:r>
        <w:rPr>
          <w:rFonts w:ascii="Calibri" w:hAnsi="Calibri" w:eastAsia="Calibri"/>
          <w:b w:val="0"/>
          <w:color w:val="1F2933"/>
        </w:rPr>
        <w:t>Implement retention schedules by data zone, not one indefinite default.</w:t>
      </w:r>
    </w:p>
    <w:p>
      <w:pPr>
        <w:jc w:val="left"/>
        <w:numPr>
          <w:ilvl w:val="0"/>
          <w:numId w:val="10"/>
        </w:numPr>
      </w:pPr>
      <w:r>
        <w:rPr>
          <w:rFonts w:ascii="Calibri" w:hAnsi="Calibri" w:eastAsia="Calibri"/>
          <w:b w:val="0"/>
          <w:color w:val="1F2933"/>
        </w:rPr>
        <w:t>Align implementation with the DPDP Act/Rules transition, ABDM Health Data Management Policy and applicable public-health/legal authorities. [R7–R9]</w:t>
      </w:r>
    </w:p>
    <w:p>
      <w:pPr>
        <w:pStyle w:val="Heading2"/>
      </w:pPr>
      <w:r>
        <w:rPr>
          <w:rFonts w:ascii="Calibri" w:hAnsi="Calibri" w:eastAsia="Calibri"/>
          <w:b/>
          <w:color w:val="2E74B5"/>
          <w:sz w:val="26"/>
        </w:rPr>
        <w:t>8.3 Cybersecurity baseline</w:t>
      </w:r>
    </w:p>
    <w:p>
      <w:pPr>
        <w:jc w:val="left"/>
        <w:numPr>
          <w:ilvl w:val="0"/>
          <w:numId w:val="10"/>
        </w:numPr>
      </w:pPr>
      <w:r>
        <w:rPr>
          <w:rFonts w:ascii="Calibri" w:hAnsi="Calibri" w:eastAsia="Calibri"/>
          <w:b w:val="0"/>
          <w:color w:val="1F2933"/>
        </w:rPr>
        <w:t>Government-controlled domains, certificates and key management.</w:t>
      </w:r>
    </w:p>
    <w:p>
      <w:pPr>
        <w:jc w:val="left"/>
        <w:numPr>
          <w:ilvl w:val="0"/>
          <w:numId w:val="10"/>
        </w:numPr>
      </w:pPr>
      <w:r>
        <w:rPr>
          <w:rFonts w:ascii="Calibri" w:hAnsi="Calibri" w:eastAsia="Calibri"/>
          <w:b w:val="0"/>
          <w:color w:val="1F2933"/>
        </w:rPr>
        <w:t>MFA for users; mutual TLS and per-device certificates for edge nodes.</w:t>
      </w:r>
    </w:p>
    <w:p>
      <w:pPr>
        <w:jc w:val="left"/>
        <w:numPr>
          <w:ilvl w:val="0"/>
          <w:numId w:val="10"/>
        </w:numPr>
      </w:pPr>
      <w:r>
        <w:rPr>
          <w:rFonts w:ascii="Calibri" w:hAnsi="Calibri" w:eastAsia="Calibri"/>
          <w:b w:val="0"/>
          <w:color w:val="1F2933"/>
        </w:rPr>
        <w:t>No production default passwords or wildcard hosts.</w:t>
      </w:r>
    </w:p>
    <w:p>
      <w:pPr>
        <w:jc w:val="left"/>
        <w:numPr>
          <w:ilvl w:val="0"/>
          <w:numId w:val="10"/>
        </w:numPr>
      </w:pPr>
      <w:r>
        <w:rPr>
          <w:rFonts w:ascii="Calibri" w:hAnsi="Calibri" w:eastAsia="Calibri"/>
          <w:b w:val="0"/>
          <w:color w:val="1F2933"/>
        </w:rPr>
        <w:t>Encrypted databases/backups and TLS 1.2+ in transit.</w:t>
      </w:r>
    </w:p>
    <w:p>
      <w:pPr>
        <w:jc w:val="left"/>
        <w:numPr>
          <w:ilvl w:val="0"/>
          <w:numId w:val="10"/>
        </w:numPr>
      </w:pPr>
      <w:r>
        <w:rPr>
          <w:rFonts w:ascii="Calibri" w:hAnsi="Calibri" w:eastAsia="Calibri"/>
          <w:b w:val="0"/>
          <w:color w:val="1F2933"/>
        </w:rPr>
        <w:t>Central secrets manager; automated certificate/token rotation.</w:t>
      </w:r>
    </w:p>
    <w:p>
      <w:pPr>
        <w:jc w:val="left"/>
        <w:numPr>
          <w:ilvl w:val="0"/>
          <w:numId w:val="10"/>
        </w:numPr>
      </w:pPr>
      <w:r>
        <w:rPr>
          <w:rFonts w:ascii="Calibri" w:hAnsi="Calibri" w:eastAsia="Calibri"/>
          <w:b w:val="0"/>
          <w:color w:val="1F2933"/>
        </w:rPr>
        <w:t>Secure software supply chain: signed releases, SBOM, dependency and container scanning, reproducible builds and vulnerability SLAs.</w:t>
      </w:r>
    </w:p>
    <w:p>
      <w:pPr>
        <w:jc w:val="left"/>
        <w:numPr>
          <w:ilvl w:val="0"/>
          <w:numId w:val="10"/>
        </w:numPr>
      </w:pPr>
      <w:r>
        <w:rPr>
          <w:rFonts w:ascii="Calibri" w:hAnsi="Calibri" w:eastAsia="Calibri"/>
          <w:b w:val="0"/>
          <w:color w:val="1F2933"/>
        </w:rPr>
        <w:t>WAF, rate limiting, API schema validation and anti-automation controls.</w:t>
      </w:r>
    </w:p>
    <w:p>
      <w:pPr>
        <w:jc w:val="left"/>
        <w:numPr>
          <w:ilvl w:val="0"/>
          <w:numId w:val="10"/>
        </w:numPr>
      </w:pPr>
      <w:r>
        <w:rPr>
          <w:rFonts w:ascii="Calibri" w:hAnsi="Calibri" w:eastAsia="Calibri"/>
          <w:b w:val="0"/>
          <w:color w:val="1F2933"/>
        </w:rPr>
        <w:t>Endpoint hardening, application allow-listing and tamper-evident audit.</w:t>
      </w:r>
    </w:p>
    <w:p>
      <w:pPr>
        <w:jc w:val="left"/>
        <w:numPr>
          <w:ilvl w:val="0"/>
          <w:numId w:val="10"/>
        </w:numPr>
      </w:pPr>
      <w:r>
        <w:rPr>
          <w:rFonts w:ascii="Calibri" w:hAnsi="Calibri" w:eastAsia="Calibri"/>
          <w:b w:val="0"/>
          <w:color w:val="1F2933"/>
        </w:rPr>
        <w:t>SOC/SIEM integration, use-case playbooks and 24×7 incident escalation for national services.</w:t>
      </w:r>
    </w:p>
    <w:p>
      <w:pPr>
        <w:jc w:val="left"/>
        <w:numPr>
          <w:ilvl w:val="0"/>
          <w:numId w:val="10"/>
        </w:numPr>
      </w:pPr>
      <w:r>
        <w:rPr>
          <w:rFonts w:ascii="Calibri" w:hAnsi="Calibri" w:eastAsia="Calibri"/>
          <w:b w:val="0"/>
          <w:color w:val="1F2933"/>
        </w:rPr>
        <w:t>Independent VAPT before each major release and at least annually.</w:t>
      </w:r>
    </w:p>
    <w:p>
      <w:pPr>
        <w:jc w:val="left"/>
        <w:numPr>
          <w:ilvl w:val="0"/>
          <w:numId w:val="10"/>
        </w:numPr>
      </w:pPr>
      <w:r>
        <w:rPr>
          <w:rFonts w:ascii="Calibri" w:hAnsi="Calibri" w:eastAsia="Calibri"/>
          <w:b w:val="0"/>
          <w:color w:val="1F2933"/>
        </w:rPr>
        <w:t>Disaster recovery with tested restore, multi-zone database, offline runbooks and immutable backups.</w:t>
      </w:r>
    </w:p>
    <w:p>
      <w:pPr>
        <w:jc w:val="left"/>
        <w:numPr>
          <w:ilvl w:val="0"/>
          <w:numId w:val="10"/>
        </w:numPr>
      </w:pPr>
      <w:r>
        <w:rPr>
          <w:rFonts w:ascii="Calibri" w:hAnsi="Calibri" w:eastAsia="Calibri"/>
          <w:b w:val="0"/>
          <w:color w:val="1F2933"/>
        </w:rPr>
        <w:t>Compliance mapping to CERT-In directions/guidelines and applicable government security requirements. [R14]</w:t>
      </w:r>
    </w:p>
    <w:p>
      <w:pPr>
        <w:pStyle w:val="Heading2"/>
      </w:pPr>
      <w:r>
        <w:rPr>
          <w:rFonts w:ascii="Calibri" w:hAnsi="Calibri" w:eastAsia="Calibri"/>
          <w:b/>
          <w:color w:val="2E74B5"/>
          <w:sz w:val="26"/>
        </w:rPr>
        <w:t>8.4 Non-functional targets</w:t>
      </w:r>
    </w:p>
    <w:tbl>
      <w:tblPr>
        <w:tblW w:type="dxa" w:w="9360"/>
        <w:jc w:val="left"/>
        <w:tblLayout w:type="fixed"/>
        <w:tblLook w:firstColumn="1" w:firstRow="1" w:lastColumn="0" w:lastRow="0" w:noHBand="0" w:noVBand="1" w:val="04A0"/>
        <w:tblInd w:w="120" w:type="dxa"/>
        <w:tblBorders>
          <w:top w:val="single" w:sz="6" w:space="0" w:color="D9E1E8"/>
          <w:left w:val="single" w:sz="6" w:space="0" w:color="D9E1E8"/>
          <w:bottom w:val="single" w:sz="6" w:space="0" w:color="D9E1E8"/>
          <w:right w:val="single" w:sz="6" w:space="0" w:color="D9E1E8"/>
          <w:insideH w:val="single" w:sz="6" w:space="0" w:color="D9E1E8"/>
          <w:insideV w:val="single" w:sz="6" w:space="0" w:color="D9E1E8"/>
        </w:tblBorders>
      </w:tblPr>
      <w:tblGrid>
        <w:gridCol w:w="1800"/>
        <w:gridCol w:w="3500"/>
        <w:gridCol w:w="4060"/>
      </w:tblGrid>
      <w:tr>
        <w:trPr>
          <w:tblHeader w:val="true"/>
          <w:cantSplit w:val="true"/>
        </w:trPr>
        <w:tc>
          <w:tcPr>
            <w:tcW w:type="dxa" w:w="1800"/>
            <w:tcMar>
              <w:top w:w="90" w:type="dxa"/>
              <w:start w:w="120" w:type="dxa"/>
              <w:bottom w:w="90" w:type="dxa"/>
              <w:end w:w="120" w:type="dxa"/>
            </w:tcMar>
            <w:vAlign w:val="center"/>
            <w:shd w:fill="17365D"/>
          </w:tcPr>
          <w:p>
            <w:pPr>
              <w:pStyle w:val="TableText"/>
              <w:jc w:val="left"/>
            </w:pPr>
            <w:r>
              <w:rPr>
                <w:rFonts w:ascii="Calibri" w:hAnsi="Calibri" w:eastAsia="Calibri"/>
                <w:b/>
                <w:color w:val="FFFFFF"/>
                <w:sz w:val="18"/>
              </w:rPr>
              <w:t>Attribute</w:t>
            </w:r>
          </w:p>
        </w:tc>
        <w:tc>
          <w:tcPr>
            <w:tcW w:type="dxa" w:w="3500"/>
            <w:tcMar>
              <w:top w:w="90" w:type="dxa"/>
              <w:start w:w="120" w:type="dxa"/>
              <w:bottom w:w="90" w:type="dxa"/>
              <w:end w:w="120" w:type="dxa"/>
            </w:tcMar>
            <w:vAlign w:val="center"/>
            <w:shd w:fill="17365D"/>
          </w:tcPr>
          <w:p>
            <w:pPr>
              <w:pStyle w:val="TableText"/>
              <w:jc w:val="left"/>
            </w:pPr>
            <w:r>
              <w:rPr>
                <w:rFonts w:ascii="Calibri" w:hAnsi="Calibri" w:eastAsia="Calibri"/>
                <w:b/>
                <w:color w:val="FFFFFF"/>
                <w:sz w:val="18"/>
              </w:rPr>
              <w:t>Pilot target</w:t>
            </w:r>
          </w:p>
        </w:tc>
        <w:tc>
          <w:tcPr>
            <w:tcW w:type="dxa" w:w="4060"/>
            <w:tcMar>
              <w:top w:w="90" w:type="dxa"/>
              <w:start w:w="120" w:type="dxa"/>
              <w:bottom w:w="90" w:type="dxa"/>
              <w:end w:w="120" w:type="dxa"/>
            </w:tcMar>
            <w:vAlign w:val="center"/>
            <w:shd w:fill="17365D"/>
          </w:tcPr>
          <w:p>
            <w:pPr>
              <w:pStyle w:val="TableText"/>
              <w:jc w:val="left"/>
            </w:pPr>
            <w:r>
              <w:rPr>
                <w:rFonts w:ascii="Calibri" w:hAnsi="Calibri" w:eastAsia="Calibri"/>
                <w:b/>
                <w:color w:val="FFFFFF"/>
                <w:sz w:val="18"/>
              </w:rPr>
              <w:t>National target</w:t>
            </w:r>
          </w:p>
        </w:tc>
      </w:tr>
      <w:tr>
        <w:trPr>
          <w:cantSplit w:val="true"/>
        </w:trPr>
        <w:tc>
          <w:tcPr>
            <w:tcW w:type="dxa" w:w="1800"/>
            <w:tcMar>
              <w:top w:w="90" w:type="dxa"/>
              <w:start w:w="120" w:type="dxa"/>
              <w:bottom w:w="90" w:type="dxa"/>
              <w:end w:w="120" w:type="dxa"/>
            </w:tcMar>
            <w:vAlign w:val="center"/>
          </w:tcPr>
          <w:p>
            <w:pPr>
              <w:pStyle w:val="TableText"/>
              <w:jc w:val="left"/>
            </w:pPr>
            <w:r>
              <w:rPr>
                <w:rFonts w:ascii="Calibri" w:hAnsi="Calibri" w:eastAsia="Calibri"/>
                <w:b w:val="0"/>
                <w:color w:val="1F2933"/>
                <w:sz w:val="18"/>
              </w:rPr>
              <w:t>Central availability</w:t>
            </w:r>
          </w:p>
        </w:tc>
        <w:tc>
          <w:tcPr>
            <w:tcW w:type="dxa" w:w="3500"/>
            <w:tcMar>
              <w:top w:w="90" w:type="dxa"/>
              <w:start w:w="120" w:type="dxa"/>
              <w:bottom w:w="90" w:type="dxa"/>
              <w:end w:w="120" w:type="dxa"/>
            </w:tcMar>
            <w:vAlign w:val="center"/>
          </w:tcPr>
          <w:p>
            <w:pPr>
              <w:pStyle w:val="TableText"/>
              <w:jc w:val="left"/>
            </w:pPr>
            <w:r>
              <w:rPr>
                <w:rFonts w:ascii="Calibri" w:hAnsi="Calibri" w:eastAsia="Calibri"/>
                <w:b w:val="0"/>
                <w:color w:val="1F2933"/>
                <w:sz w:val="18"/>
              </w:rPr>
              <w:t>99.5% monthly</w:t>
            </w:r>
          </w:p>
        </w:tc>
        <w:tc>
          <w:tcPr>
            <w:tcW w:type="dxa" w:w="4060"/>
            <w:tcMar>
              <w:top w:w="90" w:type="dxa"/>
              <w:start w:w="120" w:type="dxa"/>
              <w:bottom w:w="90" w:type="dxa"/>
              <w:end w:w="120" w:type="dxa"/>
            </w:tcMar>
            <w:vAlign w:val="center"/>
          </w:tcPr>
          <w:p>
            <w:pPr>
              <w:pStyle w:val="TableText"/>
              <w:jc w:val="left"/>
            </w:pPr>
            <w:r>
              <w:rPr>
                <w:rFonts w:ascii="Calibri" w:hAnsi="Calibri" w:eastAsia="Calibri"/>
                <w:b w:val="0"/>
                <w:color w:val="1F2933"/>
                <w:sz w:val="18"/>
              </w:rPr>
              <w:t>99.9% monthly for core exchange/alert services</w:t>
            </w:r>
          </w:p>
        </w:tc>
      </w:tr>
      <w:tr>
        <w:trPr>
          <w:cantSplit w:val="true"/>
        </w:trPr>
        <w:tc>
          <w:tcPr>
            <w:tcW w:type="dxa" w:w="1800"/>
            <w:tcMar>
              <w:top w:w="90" w:type="dxa"/>
              <w:start w:w="120" w:type="dxa"/>
              <w:bottom w:w="90" w:type="dxa"/>
              <w:end w:w="120" w:type="dxa"/>
            </w:tcMar>
            <w:vAlign w:val="center"/>
            <w:shd w:fill="F4F6F9"/>
          </w:tcPr>
          <w:p>
            <w:pPr>
              <w:pStyle w:val="TableText"/>
              <w:jc w:val="left"/>
            </w:pPr>
            <w:r>
              <w:rPr>
                <w:rFonts w:ascii="Calibri" w:hAnsi="Calibri" w:eastAsia="Calibri"/>
                <w:b w:val="0"/>
                <w:color w:val="1F2933"/>
                <w:sz w:val="18"/>
              </w:rPr>
              <w:t>Edge offline operation</w:t>
            </w:r>
          </w:p>
        </w:tc>
        <w:tc>
          <w:tcPr>
            <w:tcW w:type="dxa" w:w="3500"/>
            <w:tcMar>
              <w:top w:w="90" w:type="dxa"/>
              <w:start w:w="120" w:type="dxa"/>
              <w:bottom w:w="90" w:type="dxa"/>
              <w:end w:w="120" w:type="dxa"/>
            </w:tcMar>
            <w:vAlign w:val="center"/>
            <w:shd w:fill="F4F6F9"/>
          </w:tcPr>
          <w:p>
            <w:pPr>
              <w:pStyle w:val="TableText"/>
              <w:jc w:val="left"/>
            </w:pPr>
            <w:r>
              <w:rPr>
                <w:rFonts w:ascii="Calibri" w:hAnsi="Calibri" w:eastAsia="Calibri"/>
                <w:b w:val="0"/>
                <w:color w:val="1F2933"/>
                <w:sz w:val="18"/>
              </w:rPr>
              <w:t>30 days without loss</w:t>
            </w:r>
          </w:p>
        </w:tc>
        <w:tc>
          <w:tcPr>
            <w:tcW w:type="dxa" w:w="4060"/>
            <w:tcMar>
              <w:top w:w="90" w:type="dxa"/>
              <w:start w:w="120" w:type="dxa"/>
              <w:bottom w:w="90" w:type="dxa"/>
              <w:end w:w="120" w:type="dxa"/>
            </w:tcMar>
            <w:vAlign w:val="center"/>
            <w:shd w:fill="F4F6F9"/>
          </w:tcPr>
          <w:p>
            <w:pPr>
              <w:pStyle w:val="TableText"/>
              <w:jc w:val="left"/>
            </w:pPr>
            <w:r>
              <w:rPr>
                <w:rFonts w:ascii="Calibri" w:hAnsi="Calibri" w:eastAsia="Calibri"/>
                <w:b w:val="0"/>
                <w:color w:val="1F2933"/>
                <w:sz w:val="18"/>
              </w:rPr>
              <w:t>90 days with controlled backlog</w:t>
            </w:r>
          </w:p>
        </w:tc>
      </w:tr>
      <w:tr>
        <w:trPr>
          <w:cantSplit w:val="true"/>
        </w:trPr>
        <w:tc>
          <w:tcPr>
            <w:tcW w:type="dxa" w:w="1800"/>
            <w:tcMar>
              <w:top w:w="90" w:type="dxa"/>
              <w:start w:w="120" w:type="dxa"/>
              <w:bottom w:w="90" w:type="dxa"/>
              <w:end w:w="120" w:type="dxa"/>
            </w:tcMar>
            <w:vAlign w:val="center"/>
          </w:tcPr>
          <w:p>
            <w:pPr>
              <w:pStyle w:val="TableText"/>
              <w:jc w:val="left"/>
            </w:pPr>
            <w:r>
              <w:rPr>
                <w:rFonts w:ascii="Calibri" w:hAnsi="Calibri" w:eastAsia="Calibri"/>
                <w:b w:val="0"/>
                <w:color w:val="1F2933"/>
                <w:sz w:val="18"/>
              </w:rPr>
              <w:t>Sync delivery</w:t>
            </w:r>
          </w:p>
        </w:tc>
        <w:tc>
          <w:tcPr>
            <w:tcW w:type="dxa" w:w="3500"/>
            <w:tcMar>
              <w:top w:w="90" w:type="dxa"/>
              <w:start w:w="120" w:type="dxa"/>
              <w:bottom w:w="90" w:type="dxa"/>
              <w:end w:w="120" w:type="dxa"/>
            </w:tcMar>
            <w:vAlign w:val="center"/>
          </w:tcPr>
          <w:p>
            <w:pPr>
              <w:pStyle w:val="TableText"/>
              <w:jc w:val="left"/>
            </w:pPr>
            <w:r>
              <w:rPr>
                <w:rFonts w:ascii="Calibri" w:hAnsi="Calibri" w:eastAsia="Calibri"/>
                <w:b w:val="0"/>
                <w:color w:val="1F2933"/>
                <w:sz w:val="18"/>
              </w:rPr>
              <w:t>95% of valid batches within 24 h</w:t>
            </w:r>
          </w:p>
        </w:tc>
        <w:tc>
          <w:tcPr>
            <w:tcW w:type="dxa" w:w="4060"/>
            <w:tcMar>
              <w:top w:w="90" w:type="dxa"/>
              <w:start w:w="120" w:type="dxa"/>
              <w:bottom w:w="90" w:type="dxa"/>
              <w:end w:w="120" w:type="dxa"/>
            </w:tcMar>
            <w:vAlign w:val="center"/>
          </w:tcPr>
          <w:p>
            <w:pPr>
              <w:pStyle w:val="TableText"/>
              <w:jc w:val="left"/>
            </w:pPr>
            <w:r>
              <w:rPr>
                <w:rFonts w:ascii="Calibri" w:hAnsi="Calibri" w:eastAsia="Calibri"/>
                <w:b w:val="0"/>
                <w:color w:val="1F2933"/>
                <w:sz w:val="18"/>
              </w:rPr>
              <w:t>99% within defined sector SLO</w:t>
            </w:r>
          </w:p>
        </w:tc>
      </w:tr>
      <w:tr>
        <w:trPr>
          <w:cantSplit w:val="true"/>
        </w:trPr>
        <w:tc>
          <w:tcPr>
            <w:tcW w:type="dxa" w:w="1800"/>
            <w:tcMar>
              <w:top w:w="90" w:type="dxa"/>
              <w:start w:w="120" w:type="dxa"/>
              <w:bottom w:w="90" w:type="dxa"/>
              <w:end w:w="120" w:type="dxa"/>
            </w:tcMar>
            <w:vAlign w:val="center"/>
            <w:shd w:fill="F4F6F9"/>
          </w:tcPr>
          <w:p>
            <w:pPr>
              <w:pStyle w:val="TableText"/>
              <w:jc w:val="left"/>
            </w:pPr>
            <w:r>
              <w:rPr>
                <w:rFonts w:ascii="Calibri" w:hAnsi="Calibri" w:eastAsia="Calibri"/>
                <w:b w:val="0"/>
                <w:color w:val="1F2933"/>
                <w:sz w:val="18"/>
              </w:rPr>
              <w:t>Alert latency</w:t>
            </w:r>
          </w:p>
        </w:tc>
        <w:tc>
          <w:tcPr>
            <w:tcW w:type="dxa" w:w="3500"/>
            <w:tcMar>
              <w:top w:w="90" w:type="dxa"/>
              <w:start w:w="120" w:type="dxa"/>
              <w:bottom w:w="90" w:type="dxa"/>
              <w:end w:w="120" w:type="dxa"/>
            </w:tcMar>
            <w:vAlign w:val="center"/>
            <w:shd w:fill="F4F6F9"/>
          </w:tcPr>
          <w:p>
            <w:pPr>
              <w:pStyle w:val="TableText"/>
              <w:jc w:val="left"/>
            </w:pPr>
            <w:r>
              <w:rPr>
                <w:rFonts w:ascii="Calibri" w:hAnsi="Calibri" w:eastAsia="Calibri"/>
                <w:b w:val="0"/>
                <w:color w:val="1F2933"/>
                <w:sz w:val="18"/>
              </w:rPr>
              <w:t>Critical verified signal within 4 h of central receipt</w:t>
            </w:r>
          </w:p>
        </w:tc>
        <w:tc>
          <w:tcPr>
            <w:tcW w:type="dxa" w:w="4060"/>
            <w:tcMar>
              <w:top w:w="90" w:type="dxa"/>
              <w:start w:w="120" w:type="dxa"/>
              <w:bottom w:w="90" w:type="dxa"/>
              <w:end w:w="120" w:type="dxa"/>
            </w:tcMar>
            <w:vAlign w:val="center"/>
            <w:shd w:fill="F4F6F9"/>
          </w:tcPr>
          <w:p>
            <w:pPr>
              <w:pStyle w:val="TableText"/>
              <w:jc w:val="left"/>
            </w:pPr>
            <w:r>
              <w:rPr>
                <w:rFonts w:ascii="Calibri" w:hAnsi="Calibri" w:eastAsia="Calibri"/>
                <w:b w:val="0"/>
                <w:color w:val="1F2933"/>
                <w:sz w:val="18"/>
              </w:rPr>
              <w:t>Sector-specific SLO with escalation</w:t>
            </w:r>
          </w:p>
        </w:tc>
      </w:tr>
      <w:tr>
        <w:trPr>
          <w:cantSplit w:val="true"/>
        </w:trPr>
        <w:tc>
          <w:tcPr>
            <w:tcW w:type="dxa" w:w="1800"/>
            <w:tcMar>
              <w:top w:w="90" w:type="dxa"/>
              <w:start w:w="120" w:type="dxa"/>
              <w:bottom w:w="90" w:type="dxa"/>
              <w:end w:w="120" w:type="dxa"/>
            </w:tcMar>
            <w:vAlign w:val="center"/>
          </w:tcPr>
          <w:p>
            <w:pPr>
              <w:pStyle w:val="TableText"/>
              <w:jc w:val="left"/>
            </w:pPr>
            <w:r>
              <w:rPr>
                <w:rFonts w:ascii="Calibri" w:hAnsi="Calibri" w:eastAsia="Calibri"/>
                <w:b w:val="0"/>
                <w:color w:val="1F2933"/>
                <w:sz w:val="18"/>
              </w:rPr>
              <w:t>Recovery point</w:t>
            </w:r>
          </w:p>
        </w:tc>
        <w:tc>
          <w:tcPr>
            <w:tcW w:type="dxa" w:w="3500"/>
            <w:tcMar>
              <w:top w:w="90" w:type="dxa"/>
              <w:start w:w="120" w:type="dxa"/>
              <w:bottom w:w="90" w:type="dxa"/>
              <w:end w:w="120" w:type="dxa"/>
            </w:tcMar>
            <w:vAlign w:val="center"/>
          </w:tcPr>
          <w:p>
            <w:pPr>
              <w:pStyle w:val="TableText"/>
              <w:jc w:val="left"/>
            </w:pPr>
            <w:r>
              <w:rPr>
                <w:rFonts w:ascii="Calibri" w:hAnsi="Calibri" w:eastAsia="Calibri"/>
                <w:b w:val="0"/>
                <w:color w:val="1F2933"/>
                <w:sz w:val="18"/>
              </w:rPr>
              <w:t>24 h pilot</w:t>
            </w:r>
          </w:p>
        </w:tc>
        <w:tc>
          <w:tcPr>
            <w:tcW w:type="dxa" w:w="4060"/>
            <w:tcMar>
              <w:top w:w="90" w:type="dxa"/>
              <w:start w:w="120" w:type="dxa"/>
              <w:bottom w:w="90" w:type="dxa"/>
              <w:end w:w="120" w:type="dxa"/>
            </w:tcMar>
            <w:vAlign w:val="center"/>
          </w:tcPr>
          <w:p>
            <w:pPr>
              <w:pStyle w:val="TableText"/>
              <w:jc w:val="left"/>
            </w:pPr>
            <w:r>
              <w:rPr>
                <w:rFonts w:ascii="Calibri" w:hAnsi="Calibri" w:eastAsia="Calibri"/>
                <w:b w:val="0"/>
                <w:color w:val="1F2933"/>
                <w:sz w:val="18"/>
              </w:rPr>
              <w:t>≤15 min for core central stores</w:t>
            </w:r>
          </w:p>
        </w:tc>
      </w:tr>
      <w:tr>
        <w:trPr>
          <w:cantSplit w:val="true"/>
        </w:trPr>
        <w:tc>
          <w:tcPr>
            <w:tcW w:type="dxa" w:w="1800"/>
            <w:tcMar>
              <w:top w:w="90" w:type="dxa"/>
              <w:start w:w="120" w:type="dxa"/>
              <w:bottom w:w="90" w:type="dxa"/>
              <w:end w:w="120" w:type="dxa"/>
            </w:tcMar>
            <w:vAlign w:val="center"/>
            <w:shd w:fill="F4F6F9"/>
          </w:tcPr>
          <w:p>
            <w:pPr>
              <w:pStyle w:val="TableText"/>
              <w:jc w:val="left"/>
            </w:pPr>
            <w:r>
              <w:rPr>
                <w:rFonts w:ascii="Calibri" w:hAnsi="Calibri" w:eastAsia="Calibri"/>
                <w:b w:val="0"/>
                <w:color w:val="1F2933"/>
                <w:sz w:val="18"/>
              </w:rPr>
              <w:t>Recovery time</w:t>
            </w:r>
          </w:p>
        </w:tc>
        <w:tc>
          <w:tcPr>
            <w:tcW w:type="dxa" w:w="3500"/>
            <w:tcMar>
              <w:top w:w="90" w:type="dxa"/>
              <w:start w:w="120" w:type="dxa"/>
              <w:bottom w:w="90" w:type="dxa"/>
              <w:end w:w="120" w:type="dxa"/>
            </w:tcMar>
            <w:vAlign w:val="center"/>
            <w:shd w:fill="F4F6F9"/>
          </w:tcPr>
          <w:p>
            <w:pPr>
              <w:pStyle w:val="TableText"/>
              <w:jc w:val="left"/>
            </w:pPr>
            <w:r>
              <w:rPr>
                <w:rFonts w:ascii="Calibri" w:hAnsi="Calibri" w:eastAsia="Calibri"/>
                <w:b w:val="0"/>
                <w:color w:val="1F2933"/>
                <w:sz w:val="18"/>
              </w:rPr>
              <w:t>24 h pilot</w:t>
            </w:r>
          </w:p>
        </w:tc>
        <w:tc>
          <w:tcPr>
            <w:tcW w:type="dxa" w:w="4060"/>
            <w:tcMar>
              <w:top w:w="90" w:type="dxa"/>
              <w:start w:w="120" w:type="dxa"/>
              <w:bottom w:w="90" w:type="dxa"/>
              <w:end w:w="120" w:type="dxa"/>
            </w:tcMar>
            <w:vAlign w:val="center"/>
            <w:shd w:fill="F4F6F9"/>
          </w:tcPr>
          <w:p>
            <w:pPr>
              <w:pStyle w:val="TableText"/>
              <w:jc w:val="left"/>
            </w:pPr>
            <w:r>
              <w:rPr>
                <w:rFonts w:ascii="Calibri" w:hAnsi="Calibri" w:eastAsia="Calibri"/>
                <w:b w:val="0"/>
                <w:color w:val="1F2933"/>
                <w:sz w:val="18"/>
              </w:rPr>
              <w:t>≤4 h for core services</w:t>
            </w:r>
          </w:p>
        </w:tc>
      </w:tr>
      <w:tr>
        <w:trPr>
          <w:cantSplit w:val="true"/>
        </w:trPr>
        <w:tc>
          <w:tcPr>
            <w:tcW w:type="dxa" w:w="1800"/>
            <w:tcMar>
              <w:top w:w="90" w:type="dxa"/>
              <w:start w:w="120" w:type="dxa"/>
              <w:bottom w:w="90" w:type="dxa"/>
              <w:end w:w="120" w:type="dxa"/>
            </w:tcMar>
            <w:vAlign w:val="center"/>
          </w:tcPr>
          <w:p>
            <w:pPr>
              <w:pStyle w:val="TableText"/>
              <w:jc w:val="left"/>
            </w:pPr>
            <w:r>
              <w:rPr>
                <w:rFonts w:ascii="Calibri" w:hAnsi="Calibri" w:eastAsia="Calibri"/>
                <w:b w:val="0"/>
                <w:color w:val="1F2933"/>
                <w:sz w:val="18"/>
              </w:rPr>
              <w:t>Audit retention</w:t>
            </w:r>
          </w:p>
        </w:tc>
        <w:tc>
          <w:tcPr>
            <w:tcW w:type="dxa" w:w="3500"/>
            <w:tcMar>
              <w:top w:w="90" w:type="dxa"/>
              <w:start w:w="120" w:type="dxa"/>
              <w:bottom w:w="90" w:type="dxa"/>
              <w:end w:w="120" w:type="dxa"/>
            </w:tcMar>
            <w:vAlign w:val="center"/>
          </w:tcPr>
          <w:p>
            <w:pPr>
              <w:pStyle w:val="TableText"/>
              <w:jc w:val="left"/>
            </w:pPr>
            <w:r>
              <w:rPr>
                <w:rFonts w:ascii="Calibri" w:hAnsi="Calibri" w:eastAsia="Calibri"/>
                <w:b w:val="0"/>
                <w:color w:val="1F2933"/>
                <w:sz w:val="18"/>
              </w:rPr>
              <w:t>Defined by DPIA/policy</w:t>
            </w:r>
          </w:p>
        </w:tc>
        <w:tc>
          <w:tcPr>
            <w:tcW w:type="dxa" w:w="4060"/>
            <w:tcMar>
              <w:top w:w="90" w:type="dxa"/>
              <w:start w:w="120" w:type="dxa"/>
              <w:bottom w:w="90" w:type="dxa"/>
              <w:end w:w="120" w:type="dxa"/>
            </w:tcMar>
            <w:vAlign w:val="center"/>
          </w:tcPr>
          <w:p>
            <w:pPr>
              <w:pStyle w:val="TableText"/>
              <w:jc w:val="left"/>
            </w:pPr>
            <w:r>
              <w:rPr>
                <w:rFonts w:ascii="Calibri" w:hAnsi="Calibri" w:eastAsia="Calibri"/>
                <w:b w:val="0"/>
                <w:color w:val="1F2933"/>
                <w:sz w:val="18"/>
              </w:rPr>
              <w:t>Tamper-evident, policy-controlled</w:t>
            </w:r>
          </w:p>
        </w:tc>
      </w:tr>
      <w:tr>
        <w:trPr>
          <w:cantSplit w:val="true"/>
        </w:trPr>
        <w:tc>
          <w:tcPr>
            <w:tcW w:type="dxa" w:w="1800"/>
            <w:tcMar>
              <w:top w:w="90" w:type="dxa"/>
              <w:start w:w="120" w:type="dxa"/>
              <w:bottom w:w="90" w:type="dxa"/>
              <w:end w:w="120" w:type="dxa"/>
            </w:tcMar>
            <w:vAlign w:val="center"/>
            <w:shd w:fill="F4F6F9"/>
          </w:tcPr>
          <w:p>
            <w:pPr>
              <w:pStyle w:val="TableText"/>
              <w:jc w:val="left"/>
            </w:pPr>
            <w:r>
              <w:rPr>
                <w:rFonts w:ascii="Calibri" w:hAnsi="Calibri" w:eastAsia="Calibri"/>
                <w:b w:val="0"/>
                <w:color w:val="1F2933"/>
                <w:sz w:val="18"/>
              </w:rPr>
              <w:t>Scale test</w:t>
            </w:r>
          </w:p>
        </w:tc>
        <w:tc>
          <w:tcPr>
            <w:tcW w:type="dxa" w:w="3500"/>
            <w:tcMar>
              <w:top w:w="90" w:type="dxa"/>
              <w:start w:w="120" w:type="dxa"/>
              <w:bottom w:w="90" w:type="dxa"/>
              <w:end w:w="120" w:type="dxa"/>
            </w:tcMar>
            <w:vAlign w:val="center"/>
            <w:shd w:fill="F4F6F9"/>
          </w:tcPr>
          <w:p>
            <w:pPr>
              <w:pStyle w:val="TableText"/>
              <w:jc w:val="left"/>
            </w:pPr>
            <w:r>
              <w:rPr>
                <w:rFonts w:ascii="Calibri" w:hAnsi="Calibri" w:eastAsia="Calibri"/>
                <w:b w:val="0"/>
                <w:color w:val="1F2933"/>
                <w:sz w:val="18"/>
              </w:rPr>
              <w:t>100 concurrent sites</w:t>
            </w:r>
          </w:p>
        </w:tc>
        <w:tc>
          <w:tcPr>
            <w:tcW w:type="dxa" w:w="4060"/>
            <w:tcMar>
              <w:top w:w="90" w:type="dxa"/>
              <w:start w:w="120" w:type="dxa"/>
              <w:bottom w:w="90" w:type="dxa"/>
              <w:end w:w="120" w:type="dxa"/>
            </w:tcMar>
            <w:vAlign w:val="center"/>
            <w:shd w:fill="F4F6F9"/>
          </w:tcPr>
          <w:p>
            <w:pPr>
              <w:pStyle w:val="TableText"/>
              <w:jc w:val="left"/>
            </w:pPr>
            <w:r>
              <w:rPr>
                <w:rFonts w:ascii="Calibri" w:hAnsi="Calibri" w:eastAsia="Calibri"/>
                <w:b w:val="0"/>
                <w:color w:val="1F2933"/>
                <w:sz w:val="18"/>
              </w:rPr>
              <w:t>≥10,000 sites/devices simulated with headroom</w:t>
            </w:r>
          </w:p>
        </w:tc>
      </w:tr>
      <w:tr>
        <w:trPr>
          <w:cantSplit w:val="true"/>
        </w:trPr>
        <w:tc>
          <w:tcPr>
            <w:tcW w:type="dxa" w:w="1800"/>
            <w:tcMar>
              <w:top w:w="90" w:type="dxa"/>
              <w:start w:w="120" w:type="dxa"/>
              <w:bottom w:w="90" w:type="dxa"/>
              <w:end w:w="120" w:type="dxa"/>
            </w:tcMar>
            <w:vAlign w:val="center"/>
          </w:tcPr>
          <w:p>
            <w:pPr>
              <w:pStyle w:val="TableText"/>
              <w:jc w:val="left"/>
            </w:pPr>
            <w:r>
              <w:rPr>
                <w:rFonts w:ascii="Calibri" w:hAnsi="Calibri" w:eastAsia="Calibri"/>
                <w:b w:val="0"/>
                <w:color w:val="1F2933"/>
                <w:sz w:val="18"/>
              </w:rPr>
              <w:t>Accessibility</w:t>
            </w:r>
          </w:p>
        </w:tc>
        <w:tc>
          <w:tcPr>
            <w:tcW w:type="dxa" w:w="3500"/>
            <w:tcMar>
              <w:top w:w="90" w:type="dxa"/>
              <w:start w:w="120" w:type="dxa"/>
              <w:bottom w:w="90" w:type="dxa"/>
              <w:end w:w="120" w:type="dxa"/>
            </w:tcMar>
            <w:vAlign w:val="center"/>
          </w:tcPr>
          <w:p>
            <w:pPr>
              <w:pStyle w:val="TableText"/>
              <w:jc w:val="left"/>
            </w:pPr>
            <w:r>
              <w:rPr>
                <w:rFonts w:ascii="Calibri" w:hAnsi="Calibri" w:eastAsia="Calibri"/>
                <w:b w:val="0"/>
                <w:color w:val="1F2933"/>
                <w:sz w:val="18"/>
              </w:rPr>
              <w:t>Keyboard and readable contrast</w:t>
            </w:r>
          </w:p>
        </w:tc>
        <w:tc>
          <w:tcPr>
            <w:tcW w:type="dxa" w:w="4060"/>
            <w:tcMar>
              <w:top w:w="90" w:type="dxa"/>
              <w:start w:w="120" w:type="dxa"/>
              <w:bottom w:w="90" w:type="dxa"/>
              <w:end w:w="120" w:type="dxa"/>
            </w:tcMar>
            <w:vAlign w:val="center"/>
          </w:tcPr>
          <w:p>
            <w:pPr>
              <w:pStyle w:val="TableText"/>
              <w:jc w:val="left"/>
            </w:pPr>
            <w:r>
              <w:rPr>
                <w:rFonts w:ascii="Calibri" w:hAnsi="Calibri" w:eastAsia="Calibri"/>
                <w:b w:val="0"/>
                <w:color w:val="1F2933"/>
                <w:sz w:val="18"/>
              </w:rPr>
              <w:t>WCAG 2.1 AA-equivalent for web interfaces</w:t>
            </w:r>
          </w:p>
        </w:tc>
      </w:tr>
    </w:tbl>
    <w:p>
      <w:pPr>
        <w:spacing w:after="40"/>
      </w:pPr>
    </w:p>
    <w:p>
      <w:pPr>
        <w:pStyle w:val="Heading1"/>
      </w:pPr>
      <w:r>
        <w:rPr>
          <w:rFonts w:ascii="Calibri" w:hAnsi="Calibri" w:eastAsia="Calibri"/>
          <w:b/>
          <w:color w:val="2E74B5"/>
          <w:sz w:val="32"/>
        </w:rPr>
        <w:t>9. Implementation roadmap</w:t>
      </w:r>
    </w:p>
    <w:p>
      <w:pPr>
        <w:pStyle w:val="Heading2"/>
      </w:pPr>
      <w:r>
        <w:rPr>
          <w:rFonts w:ascii="Calibri" w:hAnsi="Calibri" w:eastAsia="Calibri"/>
          <w:b/>
          <w:color w:val="2E74B5"/>
          <w:sz w:val="26"/>
        </w:rPr>
        <w:t>Phase 0 — Mandate, baseline and standards (months 0–3)</w:t>
      </w:r>
    </w:p>
    <w:p>
      <w:r>
        <w:rPr>
          <w:rFonts w:ascii="Calibri" w:hAnsi="Calibri" w:eastAsia="Calibri"/>
          <w:b/>
          <w:color w:val="1F2933"/>
        </w:rPr>
        <w:t>Objective:</w:t>
      </w:r>
      <w:r>
        <w:rPr>
          <w:rFonts w:ascii="Calibri" w:hAnsi="Calibri" w:eastAsia="Calibri"/>
          <w:b w:val="0"/>
          <w:color w:val="1F2933"/>
        </w:rPr>
        <w:t xml:space="preserve"> create authority, ownership, scope, standards and evidence before large development.</w:t>
      </w:r>
    </w:p>
    <w:p>
      <w:r>
        <w:rPr>
          <w:rFonts w:ascii="Calibri" w:hAnsi="Calibri" w:eastAsia="Calibri"/>
          <w:b w:val="0"/>
          <w:color w:val="1F2933"/>
        </w:rPr>
        <w:t>Deliverables:</w:t>
      </w:r>
    </w:p>
    <w:p>
      <w:pPr>
        <w:jc w:val="left"/>
        <w:numPr>
          <w:ilvl w:val="0"/>
          <w:numId w:val="10"/>
        </w:numPr>
      </w:pPr>
      <w:r>
        <w:rPr>
          <w:rFonts w:ascii="Calibri" w:hAnsi="Calibri" w:eastAsia="Calibri"/>
          <w:b w:val="0"/>
          <w:color w:val="1F2933"/>
        </w:rPr>
        <w:t>Programme charter, funding route, decision rights and escalation matrix.</w:t>
      </w:r>
    </w:p>
    <w:p>
      <w:pPr>
        <w:jc w:val="left"/>
        <w:numPr>
          <w:ilvl w:val="0"/>
          <w:numId w:val="10"/>
        </w:numPr>
      </w:pPr>
      <w:r>
        <w:rPr>
          <w:rFonts w:ascii="Calibri" w:hAnsi="Calibri" w:eastAsia="Calibri"/>
          <w:b w:val="0"/>
          <w:color w:val="1F2933"/>
        </w:rPr>
        <w:t>National AMR Digital Mission Unit and technical working groups.</w:t>
      </w:r>
    </w:p>
    <w:p>
      <w:pPr>
        <w:jc w:val="left"/>
        <w:numPr>
          <w:ilvl w:val="0"/>
          <w:numId w:val="10"/>
        </w:numPr>
      </w:pPr>
      <w:r>
        <w:rPr>
          <w:rFonts w:ascii="Calibri" w:hAnsi="Calibri" w:eastAsia="Calibri"/>
          <w:b w:val="0"/>
          <w:color w:val="1F2933"/>
        </w:rPr>
        <w:t>Inventory of existing systems, datasets, networks, laboratories and contracts by sector and State/UT.</w:t>
      </w:r>
    </w:p>
    <w:p>
      <w:pPr>
        <w:jc w:val="left"/>
        <w:numPr>
          <w:ilvl w:val="0"/>
          <w:numId w:val="10"/>
        </w:numPr>
      </w:pPr>
      <w:r>
        <w:rPr>
          <w:rFonts w:ascii="Calibri" w:hAnsi="Calibri" w:eastAsia="Calibri"/>
          <w:b w:val="0"/>
          <w:color w:val="1F2933"/>
        </w:rPr>
        <w:t>Data availability/maturity matrix and current workflow maps.</w:t>
      </w:r>
    </w:p>
    <w:p>
      <w:pPr>
        <w:jc w:val="left"/>
        <w:numPr>
          <w:ilvl w:val="0"/>
          <w:numId w:val="10"/>
        </w:numPr>
      </w:pPr>
      <w:r>
        <w:rPr>
          <w:rFonts w:ascii="Calibri" w:hAnsi="Calibri" w:eastAsia="Calibri"/>
          <w:b w:val="0"/>
          <w:color w:val="1F2933"/>
        </w:rPr>
        <w:t>Prioritised national use cases and pilot State/UT selection criteria.</w:t>
      </w:r>
    </w:p>
    <w:p>
      <w:pPr>
        <w:jc w:val="left"/>
        <w:numPr>
          <w:ilvl w:val="0"/>
          <w:numId w:val="10"/>
        </w:numPr>
      </w:pPr>
      <w:r>
        <w:rPr>
          <w:rFonts w:ascii="Calibri" w:hAnsi="Calibri" w:eastAsia="Calibri"/>
          <w:b w:val="0"/>
          <w:color w:val="1F2933"/>
        </w:rPr>
        <w:t>National AMR information model v0.1, indicator catalogue and data classification.</w:t>
      </w:r>
    </w:p>
    <w:p>
      <w:pPr>
        <w:jc w:val="left"/>
        <w:numPr>
          <w:ilvl w:val="0"/>
          <w:numId w:val="10"/>
        </w:numPr>
      </w:pPr>
      <w:r>
        <w:rPr>
          <w:rFonts w:ascii="Calibri" w:hAnsi="Calibri" w:eastAsia="Calibri"/>
          <w:b w:val="0"/>
          <w:color w:val="1F2933"/>
        </w:rPr>
        <w:t>Security/privacy architecture, DPIA template and standard data-sharing schedules.</w:t>
      </w:r>
    </w:p>
    <w:p>
      <w:pPr>
        <w:jc w:val="left"/>
        <w:numPr>
          <w:ilvl w:val="0"/>
          <w:numId w:val="10"/>
        </w:numPr>
      </w:pPr>
      <w:r>
        <w:rPr>
          <w:rFonts w:ascii="Calibri" w:hAnsi="Calibri" w:eastAsia="Calibri"/>
          <w:b w:val="0"/>
          <w:color w:val="1F2933"/>
        </w:rPr>
        <w:t>Product roadmap, release governance, procurement packaging and bottom-up cost model.</w:t>
      </w:r>
    </w:p>
    <w:p>
      <w:pPr>
        <w:jc w:val="left"/>
        <w:numPr>
          <w:ilvl w:val="0"/>
          <w:numId w:val="10"/>
        </w:numPr>
      </w:pPr>
      <w:r>
        <w:rPr>
          <w:rFonts w:ascii="Calibri" w:hAnsi="Calibri" w:eastAsia="Calibri"/>
          <w:b w:val="0"/>
          <w:color w:val="1F2933"/>
        </w:rPr>
        <w:t>Baseline measurement for every pilot KPI.</w:t>
      </w:r>
    </w:p>
    <w:p>
      <w:r>
        <w:rPr>
          <w:rFonts w:ascii="Calibri" w:hAnsi="Calibri" w:eastAsia="Calibri"/>
          <w:b/>
          <w:color w:val="1F2933"/>
        </w:rPr>
        <w:t>Exit gate:</w:t>
      </w:r>
      <w:r>
        <w:rPr>
          <w:rFonts w:ascii="Calibri" w:hAnsi="Calibri" w:eastAsia="Calibri"/>
          <w:b w:val="0"/>
          <w:color w:val="1F2933"/>
        </w:rPr>
        <w:t xml:space="preserve"> named owners; approved pilot scope; signed data-sharing authority; minimum datasets and indicators approved; pilot sites committed; architecture/security review passed.</w:t>
      </w:r>
    </w:p>
    <w:p>
      <w:pPr>
        <w:pStyle w:val="Heading2"/>
      </w:pPr>
      <w:r>
        <w:rPr>
          <w:rFonts w:ascii="Calibri" w:hAnsi="Calibri" w:eastAsia="Calibri"/>
          <w:b/>
          <w:color w:val="2E74B5"/>
          <w:sz w:val="26"/>
        </w:rPr>
        <w:t>Phase 1 — Harden the nucleus and prove human-health flow (months 4–9)</w:t>
      </w:r>
    </w:p>
    <w:p>
      <w:r>
        <w:rPr>
          <w:rFonts w:ascii="Calibri" w:hAnsi="Calibri" w:eastAsia="Calibri"/>
          <w:b/>
          <w:color w:val="1F2933"/>
        </w:rPr>
        <w:t>Objective:</w:t>
      </w:r>
      <w:r>
        <w:rPr>
          <w:rFonts w:ascii="Calibri" w:hAnsi="Calibri" w:eastAsia="Calibri"/>
          <w:b w:val="0"/>
          <w:color w:val="1F2933"/>
        </w:rPr>
        <w:t xml:space="preserve"> produce a secure, supportable first operational release based on the existing desktop/server combination.</w:t>
      </w:r>
    </w:p>
    <w:p>
      <w:r>
        <w:rPr>
          <w:rFonts w:ascii="Calibri" w:hAnsi="Calibri" w:eastAsia="Calibri"/>
          <w:b w:val="0"/>
          <w:color w:val="1F2933"/>
        </w:rPr>
        <w:t>Deliverables:</w:t>
      </w:r>
    </w:p>
    <w:p>
      <w:pPr>
        <w:jc w:val="left"/>
        <w:numPr>
          <w:ilvl w:val="0"/>
          <w:numId w:val="10"/>
        </w:numPr>
      </w:pPr>
      <w:r>
        <w:rPr>
          <w:rFonts w:ascii="Calibri" w:hAnsi="Calibri" w:eastAsia="Calibri"/>
          <w:b w:val="0"/>
          <w:color w:val="1F2933"/>
        </w:rPr>
        <w:t>AMRIT Edge 1.5 hardening: migrations, encrypted backup, user roles, signed terminology packages, durable sync, device identity and remote health.</w:t>
      </w:r>
    </w:p>
    <w:p>
      <w:pPr>
        <w:jc w:val="left"/>
        <w:numPr>
          <w:ilvl w:val="0"/>
          <w:numId w:val="10"/>
        </w:numPr>
      </w:pPr>
      <w:r>
        <w:rPr>
          <w:rFonts w:ascii="Calibri" w:hAnsi="Calibri" w:eastAsia="Calibri"/>
          <w:b w:val="0"/>
          <w:color w:val="1F2933"/>
        </w:rPr>
        <w:t>Central server production baseline: hardened settings, MFA/SSO integration, PKI, queue-based dispatch, observability, DR, API versioning and audit export.</w:t>
      </w:r>
    </w:p>
    <w:p>
      <w:pPr>
        <w:jc w:val="left"/>
        <w:numPr>
          <w:ilvl w:val="0"/>
          <w:numId w:val="10"/>
        </w:numPr>
      </w:pPr>
      <w:r>
        <w:rPr>
          <w:rFonts w:ascii="Calibri" w:hAnsi="Calibri" w:eastAsia="Calibri"/>
          <w:b w:val="0"/>
          <w:color w:val="1F2933"/>
        </w:rPr>
        <w:t>Human lab minimum dataset and conformance test kit.</w:t>
      </w:r>
    </w:p>
    <w:p>
      <w:pPr>
        <w:jc w:val="left"/>
        <w:numPr>
          <w:ilvl w:val="0"/>
          <w:numId w:val="10"/>
        </w:numPr>
      </w:pPr>
      <w:r>
        <w:rPr>
          <w:rFonts w:ascii="Calibri" w:hAnsi="Calibri" w:eastAsia="Calibri"/>
          <w:b w:val="0"/>
          <w:color w:val="1F2933"/>
        </w:rPr>
        <w:t>LIS/WHONET/CSV adapters and mapping workbench.</w:t>
      </w:r>
    </w:p>
    <w:p>
      <w:pPr>
        <w:jc w:val="left"/>
        <w:numPr>
          <w:ilvl w:val="0"/>
          <w:numId w:val="10"/>
        </w:numPr>
      </w:pPr>
      <w:r>
        <w:rPr>
          <w:rFonts w:ascii="Calibri" w:hAnsi="Calibri" w:eastAsia="Calibri"/>
          <w:b w:val="0"/>
          <w:color w:val="1F2933"/>
        </w:rPr>
        <w:t>Data-quality console and correction loop.</w:t>
      </w:r>
    </w:p>
    <w:p>
      <w:pPr>
        <w:jc w:val="left"/>
        <w:numPr>
          <w:ilvl w:val="0"/>
          <w:numId w:val="10"/>
        </w:numPr>
      </w:pPr>
      <w:r>
        <w:rPr>
          <w:rFonts w:ascii="Calibri" w:hAnsi="Calibri" w:eastAsia="Calibri"/>
          <w:b w:val="0"/>
          <w:color w:val="1F2933"/>
        </w:rPr>
        <w:t>National/State/district/facility dashboards with denominator, confidence, freshness and coverage.</w:t>
      </w:r>
    </w:p>
    <w:p>
      <w:pPr>
        <w:jc w:val="left"/>
        <w:numPr>
          <w:ilvl w:val="0"/>
          <w:numId w:val="10"/>
        </w:numPr>
      </w:pPr>
      <w:r>
        <w:rPr>
          <w:rFonts w:ascii="Calibri" w:hAnsi="Calibri" w:eastAsia="Calibri"/>
          <w:b w:val="0"/>
          <w:color w:val="1F2933"/>
        </w:rPr>
        <w:t>Alert verification and action-plan workflow.</w:t>
      </w:r>
    </w:p>
    <w:p>
      <w:pPr>
        <w:jc w:val="left"/>
        <w:numPr>
          <w:ilvl w:val="0"/>
          <w:numId w:val="10"/>
        </w:numPr>
      </w:pPr>
      <w:r>
        <w:rPr>
          <w:rFonts w:ascii="Calibri" w:hAnsi="Calibri" w:eastAsia="Calibri"/>
          <w:b w:val="0"/>
          <w:color w:val="1F2933"/>
        </w:rPr>
        <w:t>Initial GLASS-compatible export.</w:t>
      </w:r>
    </w:p>
    <w:p>
      <w:pPr>
        <w:jc w:val="left"/>
        <w:numPr>
          <w:ilvl w:val="0"/>
          <w:numId w:val="10"/>
        </w:numPr>
      </w:pPr>
      <w:r>
        <w:rPr>
          <w:rFonts w:ascii="Calibri" w:hAnsi="Calibri" w:eastAsia="Calibri"/>
          <w:b w:val="0"/>
          <w:color w:val="1F2933"/>
        </w:rPr>
        <w:t>Pilot operations manual, help desk, onboarding and training.</w:t>
      </w:r>
    </w:p>
    <w:p>
      <w:r>
        <w:rPr>
          <w:rFonts w:ascii="Calibri" w:hAnsi="Calibri" w:eastAsia="Calibri"/>
          <w:b w:val="0"/>
          <w:color w:val="1F2933"/>
        </w:rPr>
        <w:t>Suggested controlled footprint: 25–50 diverse laboratories across 3–6 willing States/UTs, including tertiary, medical college, district and selected private facilities. Final numbers must follow the baseline/costing exercise.</w:t>
      </w:r>
    </w:p>
    <w:p>
      <w:r>
        <w:rPr>
          <w:rFonts w:ascii="Calibri" w:hAnsi="Calibri" w:eastAsia="Calibri"/>
          <w:b/>
          <w:color w:val="1F2933"/>
        </w:rPr>
        <w:t>Exit gate:</w:t>
      </w:r>
      <w:r>
        <w:rPr>
          <w:rFonts w:ascii="Calibri" w:hAnsi="Calibri" w:eastAsia="Calibri"/>
          <w:b w:val="0"/>
          <w:color w:val="1F2933"/>
        </w:rPr>
        <w:t xml:space="preserve"> ≥90% valid exchange; no unresolved critical security findings; reproducible metrics match reference datasets; users close test alerts end-to-end; restore and offline reconciliation drills pass.</w:t>
      </w:r>
    </w:p>
    <w:p>
      <w:pPr>
        <w:pStyle w:val="Heading2"/>
      </w:pPr>
      <w:r>
        <w:rPr>
          <w:rFonts w:ascii="Calibri" w:hAnsi="Calibri" w:eastAsia="Calibri"/>
          <w:b/>
          <w:color w:val="2E74B5"/>
          <w:sz w:val="26"/>
        </w:rPr>
        <w:t>Phase 2 — Multi-sector and stewardship pilots (months 10–18)</w:t>
      </w:r>
    </w:p>
    <w:p>
      <w:r>
        <w:rPr>
          <w:rFonts w:ascii="Calibri" w:hAnsi="Calibri" w:eastAsia="Calibri"/>
          <w:b/>
          <w:color w:val="1F2933"/>
        </w:rPr>
        <w:t>Objective:</w:t>
      </w:r>
      <w:r>
        <w:rPr>
          <w:rFonts w:ascii="Calibri" w:hAnsi="Calibri" w:eastAsia="Calibri"/>
          <w:b w:val="0"/>
          <w:color w:val="1F2933"/>
        </w:rPr>
        <w:t xml:space="preserve"> demonstrate a real One Health AMR loop rather than parallel dashboards.</w:t>
      </w:r>
    </w:p>
    <w:p>
      <w:r>
        <w:rPr>
          <w:rFonts w:ascii="Calibri" w:hAnsi="Calibri" w:eastAsia="Calibri"/>
          <w:b w:val="0"/>
          <w:color w:val="1F2933"/>
        </w:rPr>
        <w:t>Deliverables:</w:t>
      </w:r>
    </w:p>
    <w:p>
      <w:pPr>
        <w:jc w:val="left"/>
        <w:numPr>
          <w:ilvl w:val="0"/>
          <w:numId w:val="10"/>
        </w:numPr>
      </w:pPr>
      <w:r>
        <w:rPr>
          <w:rFonts w:ascii="Calibri" w:hAnsi="Calibri" w:eastAsia="Calibri"/>
          <w:b w:val="0"/>
          <w:color w:val="1F2933"/>
        </w:rPr>
        <w:t>Stewardship/AMC module in a representative subset of facilities.</w:t>
      </w:r>
    </w:p>
    <w:p>
      <w:pPr>
        <w:jc w:val="left"/>
        <w:numPr>
          <w:ilvl w:val="0"/>
          <w:numId w:val="10"/>
        </w:numPr>
      </w:pPr>
      <w:r>
        <w:rPr>
          <w:rFonts w:ascii="Calibri" w:hAnsi="Calibri" w:eastAsia="Calibri"/>
          <w:b w:val="0"/>
          <w:color w:val="1F2933"/>
        </w:rPr>
        <w:t>IPC/HAI module and denominator integration.</w:t>
      </w:r>
    </w:p>
    <w:p>
      <w:pPr>
        <w:jc w:val="left"/>
        <w:numPr>
          <w:ilvl w:val="0"/>
          <w:numId w:val="10"/>
        </w:numPr>
      </w:pPr>
      <w:r>
        <w:rPr>
          <w:rFonts w:ascii="Calibri" w:hAnsi="Calibri" w:eastAsia="Calibri"/>
          <w:b w:val="0"/>
          <w:color w:val="1F2933"/>
        </w:rPr>
        <w:t>Veterinary/fisheries module and selected NDLM/NADRES or sector connectors.</w:t>
      </w:r>
    </w:p>
    <w:p>
      <w:pPr>
        <w:jc w:val="left"/>
        <w:numPr>
          <w:ilvl w:val="0"/>
          <w:numId w:val="10"/>
        </w:numPr>
      </w:pPr>
      <w:r>
        <w:rPr>
          <w:rFonts w:ascii="Calibri" w:hAnsi="Calibri" w:eastAsia="Calibri"/>
          <w:b w:val="0"/>
          <w:color w:val="1F2933"/>
        </w:rPr>
        <w:t>Food and environmental sentinel modules with FSSAI/CPCB/SPCB partners.</w:t>
      </w:r>
    </w:p>
    <w:p>
      <w:pPr>
        <w:jc w:val="left"/>
        <w:numPr>
          <w:ilvl w:val="0"/>
          <w:numId w:val="10"/>
        </w:numPr>
      </w:pPr>
      <w:r>
        <w:rPr>
          <w:rFonts w:ascii="Calibri" w:hAnsi="Calibri" w:eastAsia="Calibri"/>
          <w:b w:val="0"/>
          <w:color w:val="1F2933"/>
        </w:rPr>
        <w:t>Reference laboratory and genomics linkage.</w:t>
      </w:r>
    </w:p>
    <w:p>
      <w:pPr>
        <w:jc w:val="left"/>
        <w:numPr>
          <w:ilvl w:val="0"/>
          <w:numId w:val="10"/>
        </w:numPr>
      </w:pPr>
      <w:r>
        <w:rPr>
          <w:rFonts w:ascii="Calibri" w:hAnsi="Calibri" w:eastAsia="Calibri"/>
          <w:b w:val="0"/>
          <w:color w:val="1F2933"/>
        </w:rPr>
        <w:t>Joint risk-assessment workbench and cross-sector alert playbooks.</w:t>
      </w:r>
    </w:p>
    <w:p>
      <w:pPr>
        <w:jc w:val="left"/>
        <w:numPr>
          <w:ilvl w:val="0"/>
          <w:numId w:val="10"/>
        </w:numPr>
      </w:pPr>
      <w:r>
        <w:rPr>
          <w:rFonts w:ascii="Calibri" w:hAnsi="Calibri" w:eastAsia="Calibri"/>
          <w:b w:val="0"/>
          <w:color w:val="1F2933"/>
        </w:rPr>
        <w:t>State/UT NAP/SAP programme scorecards.</w:t>
      </w:r>
    </w:p>
    <w:p>
      <w:pPr>
        <w:jc w:val="left"/>
        <w:numPr>
          <w:ilvl w:val="0"/>
          <w:numId w:val="10"/>
        </w:numPr>
      </w:pPr>
      <w:r>
        <w:rPr>
          <w:rFonts w:ascii="Calibri" w:hAnsi="Calibri" w:eastAsia="Calibri"/>
          <w:b w:val="0"/>
          <w:color w:val="1F2933"/>
        </w:rPr>
        <w:t>Public portal release with disclosure controls.</w:t>
      </w:r>
    </w:p>
    <w:p>
      <w:pPr>
        <w:jc w:val="left"/>
        <w:numPr>
          <w:ilvl w:val="0"/>
          <w:numId w:val="10"/>
        </w:numPr>
      </w:pPr>
      <w:r>
        <w:rPr>
          <w:rFonts w:ascii="Calibri" w:hAnsi="Calibri" w:eastAsia="Calibri"/>
          <w:b w:val="0"/>
          <w:color w:val="1F2933"/>
        </w:rPr>
        <w:t>Independent pilot evaluation: usability, quality, actionability, cost and unintended consequences.</w:t>
      </w:r>
    </w:p>
    <w:p>
      <w:r>
        <w:rPr>
          <w:rFonts w:ascii="Calibri" w:hAnsi="Calibri" w:eastAsia="Calibri"/>
          <w:b w:val="0"/>
          <w:color w:val="1F2933"/>
        </w:rPr>
        <w:t>Select use cases where sectors can plausibly act together, for example: carbapenem resistance across hospitals and wastewater; colistin/polymyxin resistance across human, poultry/aquaculture, food and environment; ESBL Enterobacterales across clinical and food-chain sampling; or a verified novel resistance mechanism requiring reference-lab response.</w:t>
      </w:r>
    </w:p>
    <w:p>
      <w:r>
        <w:rPr>
          <w:rFonts w:ascii="Calibri" w:hAnsi="Calibri" w:eastAsia="Calibri"/>
          <w:b/>
          <w:color w:val="1F2933"/>
        </w:rPr>
        <w:t>Exit gate:</w:t>
      </w:r>
      <w:r>
        <w:rPr>
          <w:rFonts w:ascii="Calibri" w:hAnsi="Calibri" w:eastAsia="Calibri"/>
          <w:b w:val="0"/>
          <w:color w:val="1F2933"/>
        </w:rPr>
        <w:t xml:space="preserve"> at least one cross-sector signal is investigated and closed through the platform; sector owners approve data quality; AMC/AMU measures are reproducible; external evaluation recommends scale with documented changes.</w:t>
      </w:r>
    </w:p>
    <w:p>
      <w:pPr>
        <w:pStyle w:val="Heading2"/>
      </w:pPr>
      <w:r>
        <w:rPr>
          <w:rFonts w:ascii="Calibri" w:hAnsi="Calibri" w:eastAsia="Calibri"/>
          <w:b/>
          <w:color w:val="2E74B5"/>
          <w:sz w:val="26"/>
        </w:rPr>
        <w:t>Phase 3 — State/UT scale and ecosystem integration (months 19–30)</w:t>
      </w:r>
    </w:p>
    <w:p>
      <w:r>
        <w:rPr>
          <w:rFonts w:ascii="Calibri" w:hAnsi="Calibri" w:eastAsia="Calibri"/>
          <w:b/>
          <w:color w:val="1F2933"/>
        </w:rPr>
        <w:t>Objective:</w:t>
      </w:r>
      <w:r>
        <w:rPr>
          <w:rFonts w:ascii="Calibri" w:hAnsi="Calibri" w:eastAsia="Calibri"/>
          <w:b w:val="0"/>
          <w:color w:val="1F2933"/>
        </w:rPr>
        <w:t xml:space="preserve"> transition from pilots to a repeatable national adoption programme.</w:t>
      </w:r>
    </w:p>
    <w:p>
      <w:r>
        <w:rPr>
          <w:rFonts w:ascii="Calibri" w:hAnsi="Calibri" w:eastAsia="Calibri"/>
          <w:b w:val="0"/>
          <w:color w:val="1F2933"/>
        </w:rPr>
        <w:t>Deliverables:</w:t>
      </w:r>
    </w:p>
    <w:p>
      <w:pPr>
        <w:jc w:val="left"/>
        <w:numPr>
          <w:ilvl w:val="0"/>
          <w:numId w:val="10"/>
        </w:numPr>
      </w:pPr>
      <w:r>
        <w:rPr>
          <w:rFonts w:ascii="Calibri" w:hAnsi="Calibri" w:eastAsia="Calibri"/>
          <w:b w:val="0"/>
          <w:color w:val="1F2933"/>
        </w:rPr>
        <w:t>State/UT onboarding factory, readiness assessment and certification.</w:t>
      </w:r>
    </w:p>
    <w:p>
      <w:pPr>
        <w:jc w:val="left"/>
        <w:numPr>
          <w:ilvl w:val="0"/>
          <w:numId w:val="10"/>
        </w:numPr>
      </w:pPr>
      <w:r>
        <w:rPr>
          <w:rFonts w:ascii="Calibri" w:hAnsi="Calibri" w:eastAsia="Calibri"/>
          <w:b w:val="0"/>
          <w:color w:val="1F2933"/>
        </w:rPr>
        <w:t>Managed terminology/master-data distribution.</w:t>
      </w:r>
    </w:p>
    <w:p>
      <w:pPr>
        <w:jc w:val="left"/>
        <w:numPr>
          <w:ilvl w:val="0"/>
          <w:numId w:val="10"/>
        </w:numPr>
      </w:pPr>
      <w:r>
        <w:rPr>
          <w:rFonts w:ascii="Calibri" w:hAnsi="Calibri" w:eastAsia="Calibri"/>
          <w:b w:val="0"/>
          <w:color w:val="1F2933"/>
        </w:rPr>
        <w:t>National help desk, knowledge base, regional implementation partners and training-of-trainers.</w:t>
      </w:r>
    </w:p>
    <w:p>
      <w:pPr>
        <w:jc w:val="left"/>
        <w:numPr>
          <w:ilvl w:val="0"/>
          <w:numId w:val="10"/>
        </w:numPr>
      </w:pPr>
      <w:r>
        <w:rPr>
          <w:rFonts w:ascii="Calibri" w:hAnsi="Calibri" w:eastAsia="Calibri"/>
          <w:b w:val="0"/>
          <w:color w:val="1F2933"/>
        </w:rPr>
        <w:t>Integrations prioritised by reuse: major LIS/HMIS vendors, public programme systems, pharmacy/procurement feeds, veterinary and food/environment systems.</w:t>
      </w:r>
    </w:p>
    <w:p>
      <w:pPr>
        <w:jc w:val="left"/>
        <w:numPr>
          <w:ilvl w:val="0"/>
          <w:numId w:val="10"/>
        </w:numPr>
      </w:pPr>
      <w:r>
        <w:rPr>
          <w:rFonts w:ascii="Calibri" w:hAnsi="Calibri" w:eastAsia="Calibri"/>
          <w:b w:val="0"/>
          <w:color w:val="1F2933"/>
        </w:rPr>
        <w:t>Scalable infrastructure, multi-region DR, performance certification and cost monitoring.</w:t>
      </w:r>
    </w:p>
    <w:p>
      <w:pPr>
        <w:jc w:val="left"/>
        <w:numPr>
          <w:ilvl w:val="0"/>
          <w:numId w:val="10"/>
        </w:numPr>
      </w:pPr>
      <w:r>
        <w:rPr>
          <w:rFonts w:ascii="Calibri" w:hAnsi="Calibri" w:eastAsia="Calibri"/>
          <w:b w:val="0"/>
          <w:color w:val="1F2933"/>
        </w:rPr>
        <w:t>Research enclave and approved data-access workflow.</w:t>
      </w:r>
    </w:p>
    <w:p>
      <w:pPr>
        <w:jc w:val="left"/>
        <w:numPr>
          <w:ilvl w:val="0"/>
          <w:numId w:val="10"/>
        </w:numPr>
      </w:pPr>
      <w:r>
        <w:rPr>
          <w:rFonts w:ascii="Calibri" w:hAnsi="Calibri" w:eastAsia="Calibri"/>
          <w:b w:val="0"/>
          <w:color w:val="1F2933"/>
        </w:rPr>
        <w:t>Automated annual/state reports and international reporting packages.</w:t>
      </w:r>
    </w:p>
    <w:p>
      <w:pPr>
        <w:jc w:val="left"/>
        <w:numPr>
          <w:ilvl w:val="0"/>
          <w:numId w:val="10"/>
        </w:numPr>
      </w:pPr>
      <w:r>
        <w:rPr>
          <w:rFonts w:ascii="Calibri" w:hAnsi="Calibri" w:eastAsia="Calibri"/>
          <w:b w:val="0"/>
          <w:color w:val="1F2933"/>
        </w:rPr>
        <w:t>Procurement and support models for low-resource facilities.</w:t>
      </w:r>
    </w:p>
    <w:p>
      <w:r>
        <w:rPr>
          <w:rFonts w:ascii="Calibri" w:hAnsi="Calibri" w:eastAsia="Calibri"/>
          <w:b/>
          <w:color w:val="1F2933"/>
        </w:rPr>
        <w:t>Exit gate:</w:t>
      </w:r>
      <w:r>
        <w:rPr>
          <w:rFonts w:ascii="Calibri" w:hAnsi="Calibri" w:eastAsia="Calibri"/>
          <w:b w:val="0"/>
          <w:color w:val="1F2933"/>
        </w:rPr>
        <w:t xml:space="preserve"> every participating State/UT has an accountable unit, approved plan, trained team, support route and certified data product; national capacity and DR tests pass.</w:t>
      </w:r>
    </w:p>
    <w:p>
      <w:pPr>
        <w:pStyle w:val="Heading2"/>
      </w:pPr>
      <w:r>
        <w:rPr>
          <w:rFonts w:ascii="Calibri" w:hAnsi="Calibri" w:eastAsia="Calibri"/>
          <w:b/>
          <w:color w:val="2E74B5"/>
          <w:sz w:val="26"/>
        </w:rPr>
        <w:t>Phase 4 — National operations and continuous improvement (months 31–48)</w:t>
      </w:r>
    </w:p>
    <w:p>
      <w:r>
        <w:rPr>
          <w:rFonts w:ascii="Calibri" w:hAnsi="Calibri" w:eastAsia="Calibri"/>
          <w:b/>
          <w:color w:val="1F2933"/>
        </w:rPr>
        <w:t>Objective:</w:t>
      </w:r>
      <w:r>
        <w:rPr>
          <w:rFonts w:ascii="Calibri" w:hAnsi="Calibri" w:eastAsia="Calibri"/>
          <w:b w:val="0"/>
          <w:color w:val="1F2933"/>
        </w:rPr>
        <w:t xml:space="preserve"> make the ecosystem routine, measured and independently accountable.</w:t>
      </w:r>
    </w:p>
    <w:p>
      <w:r>
        <w:rPr>
          <w:rFonts w:ascii="Calibri" w:hAnsi="Calibri" w:eastAsia="Calibri"/>
          <w:b w:val="0"/>
          <w:color w:val="1F2933"/>
        </w:rPr>
        <w:t>Deliverables:</w:t>
      </w:r>
    </w:p>
    <w:p>
      <w:pPr>
        <w:jc w:val="left"/>
        <w:numPr>
          <w:ilvl w:val="0"/>
          <w:numId w:val="10"/>
        </w:numPr>
      </w:pPr>
      <w:r>
        <w:rPr>
          <w:rFonts w:ascii="Calibri" w:hAnsi="Calibri" w:eastAsia="Calibri"/>
          <w:b w:val="0"/>
          <w:color w:val="1F2933"/>
        </w:rPr>
        <w:t>Coverage expansion according to approved national sampling and service priorities.</w:t>
      </w:r>
    </w:p>
    <w:p>
      <w:pPr>
        <w:jc w:val="left"/>
        <w:numPr>
          <w:ilvl w:val="0"/>
          <w:numId w:val="10"/>
        </w:numPr>
      </w:pPr>
      <w:r>
        <w:rPr>
          <w:rFonts w:ascii="Calibri" w:hAnsi="Calibri" w:eastAsia="Calibri"/>
          <w:b w:val="0"/>
          <w:color w:val="1F2933"/>
        </w:rPr>
        <w:t>Mature stewardship, IPC, supply/access and multi-sector surveillance products.</w:t>
      </w:r>
    </w:p>
    <w:p>
      <w:pPr>
        <w:jc w:val="left"/>
        <w:numPr>
          <w:ilvl w:val="0"/>
          <w:numId w:val="10"/>
        </w:numPr>
      </w:pPr>
      <w:r>
        <w:rPr>
          <w:rFonts w:ascii="Calibri" w:hAnsi="Calibri" w:eastAsia="Calibri"/>
          <w:b w:val="0"/>
          <w:color w:val="1F2933"/>
        </w:rPr>
        <w:t>Model governance and carefully introduced forecasting.</w:t>
      </w:r>
    </w:p>
    <w:p>
      <w:pPr>
        <w:jc w:val="left"/>
        <w:numPr>
          <w:ilvl w:val="0"/>
          <w:numId w:val="10"/>
        </w:numPr>
      </w:pPr>
      <w:r>
        <w:rPr>
          <w:rFonts w:ascii="Calibri" w:hAnsi="Calibri" w:eastAsia="Calibri"/>
          <w:b w:val="0"/>
          <w:color w:val="1F2933"/>
        </w:rPr>
        <w:t>Annual independent security, privacy, epidemiological and programme audits.</w:t>
      </w:r>
    </w:p>
    <w:p>
      <w:pPr>
        <w:jc w:val="left"/>
        <w:numPr>
          <w:ilvl w:val="0"/>
          <w:numId w:val="10"/>
        </w:numPr>
      </w:pPr>
      <w:r>
        <w:rPr>
          <w:rFonts w:ascii="Calibri" w:hAnsi="Calibri" w:eastAsia="Calibri"/>
          <w:b w:val="0"/>
          <w:color w:val="1F2933"/>
        </w:rPr>
        <w:t>Public methods, quality and progress reports.</w:t>
      </w:r>
    </w:p>
    <w:p>
      <w:pPr>
        <w:jc w:val="left"/>
        <w:numPr>
          <w:ilvl w:val="0"/>
          <w:numId w:val="10"/>
        </w:numPr>
      </w:pPr>
      <w:r>
        <w:rPr>
          <w:rFonts w:ascii="Calibri" w:hAnsi="Calibri" w:eastAsia="Calibri"/>
          <w:b w:val="0"/>
          <w:color w:val="1F2933"/>
        </w:rPr>
        <w:t>Benefits realisation review and transition plan beyond NAP-AMR 2.0.</w:t>
      </w:r>
    </w:p>
    <w:p>
      <w:r>
        <w:rPr>
          <w:rFonts w:ascii="Calibri" w:hAnsi="Calibri" w:eastAsia="Calibri"/>
          <w:b/>
          <w:color w:val="1F2933"/>
        </w:rPr>
        <w:t>Exit gate:</w:t>
      </w:r>
      <w:r>
        <w:rPr>
          <w:rFonts w:ascii="Calibri" w:hAnsi="Calibri" w:eastAsia="Calibri"/>
          <w:b w:val="0"/>
          <w:color w:val="1F2933"/>
        </w:rPr>
        <w:t xml:space="preserve"> national operations funding is recurrent; services meet SLOs; indicators are trusted; action closure and programme outcomes show sustained use rather than dashboard-only adoption.</w:t>
      </w:r>
    </w:p>
    <w:p>
      <w:pPr>
        <w:pStyle w:val="Heading1"/>
      </w:pPr>
      <w:r>
        <w:rPr>
          <w:rFonts w:ascii="Calibri" w:hAnsi="Calibri" w:eastAsia="Calibri"/>
          <w:b/>
          <w:color w:val="2E74B5"/>
          <w:sz w:val="32"/>
        </w:rPr>
        <w:t>10. Work breakdown structure and executable backlog</w:t>
      </w:r>
    </w:p>
    <w:p>
      <w:r>
        <w:rPr>
          <w:rFonts w:ascii="Calibri" w:hAnsi="Calibri" w:eastAsia="Calibri"/>
          <w:b w:val="0"/>
          <w:color w:val="1F2933"/>
        </w:rPr>
        <w:t>The following work packages are suitable as programme epics. Each should be decomposed into user stories, technical designs, tests, deployment steps, training and acceptance evidence.</w:t>
      </w:r>
    </w:p>
    <w:tbl>
      <w:tblPr>
        <w:tblW w:type="dxa" w:w="9360"/>
        <w:jc w:val="left"/>
        <w:tblLayout w:type="fixed"/>
        <w:tblLook w:firstColumn="1" w:firstRow="1" w:lastColumn="0" w:lastRow="0" w:noHBand="0" w:noVBand="1" w:val="04A0"/>
        <w:tblInd w:w="120" w:type="dxa"/>
        <w:tblBorders>
          <w:top w:val="single" w:sz="6" w:space="0" w:color="D9E1E8"/>
          <w:left w:val="single" w:sz="6" w:space="0" w:color="D9E1E8"/>
          <w:bottom w:val="single" w:sz="6" w:space="0" w:color="D9E1E8"/>
          <w:right w:val="single" w:sz="6" w:space="0" w:color="D9E1E8"/>
          <w:insideH w:val="single" w:sz="6" w:space="0" w:color="D9E1E8"/>
          <w:insideV w:val="single" w:sz="6" w:space="0" w:color="D9E1E8"/>
        </w:tblBorders>
      </w:tblPr>
      <w:tblGrid>
        <w:gridCol w:w="850"/>
        <w:gridCol w:w="2150"/>
        <w:gridCol w:w="1450"/>
        <w:gridCol w:w="2550"/>
        <w:gridCol w:w="2360"/>
      </w:tblGrid>
      <w:tr>
        <w:trPr>
          <w:tblHeader w:val="true"/>
          <w:cantSplit w:val="true"/>
        </w:trPr>
        <w:tc>
          <w:tcPr>
            <w:tcW w:type="dxa" w:w="850"/>
            <w:tcMar>
              <w:top w:w="90" w:type="dxa"/>
              <w:start w:w="120" w:type="dxa"/>
              <w:bottom w:w="90" w:type="dxa"/>
              <w:end w:w="120" w:type="dxa"/>
            </w:tcMar>
            <w:vAlign w:val="center"/>
            <w:shd w:fill="17365D"/>
          </w:tcPr>
          <w:p>
            <w:pPr>
              <w:pStyle w:val="TableText"/>
              <w:jc w:val="left"/>
            </w:pPr>
            <w:r>
              <w:rPr>
                <w:rFonts w:ascii="Calibri" w:hAnsi="Calibri" w:eastAsia="Calibri"/>
                <w:b/>
                <w:color w:val="FFFFFF"/>
                <w:sz w:val="17"/>
              </w:rPr>
              <w:t>ID</w:t>
            </w:r>
          </w:p>
        </w:tc>
        <w:tc>
          <w:tcPr>
            <w:tcW w:type="dxa" w:w="2150"/>
            <w:tcMar>
              <w:top w:w="90" w:type="dxa"/>
              <w:start w:w="120" w:type="dxa"/>
              <w:bottom w:w="90" w:type="dxa"/>
              <w:end w:w="120" w:type="dxa"/>
            </w:tcMar>
            <w:vAlign w:val="center"/>
            <w:shd w:fill="17365D"/>
          </w:tcPr>
          <w:p>
            <w:pPr>
              <w:pStyle w:val="TableText"/>
              <w:jc w:val="left"/>
            </w:pPr>
            <w:r>
              <w:rPr>
                <w:rFonts w:ascii="Calibri" w:hAnsi="Calibri" w:eastAsia="Calibri"/>
                <w:b/>
                <w:color w:val="FFFFFF"/>
                <w:sz w:val="17"/>
              </w:rPr>
              <w:t>Work package</w:t>
            </w:r>
          </w:p>
        </w:tc>
        <w:tc>
          <w:tcPr>
            <w:tcW w:type="dxa" w:w="1450"/>
            <w:tcMar>
              <w:top w:w="90" w:type="dxa"/>
              <w:start w:w="120" w:type="dxa"/>
              <w:bottom w:w="90" w:type="dxa"/>
              <w:end w:w="120" w:type="dxa"/>
            </w:tcMar>
            <w:vAlign w:val="center"/>
            <w:shd w:fill="17365D"/>
          </w:tcPr>
          <w:p>
            <w:pPr>
              <w:pStyle w:val="TableText"/>
              <w:jc w:val="left"/>
            </w:pPr>
            <w:r>
              <w:rPr>
                <w:rFonts w:ascii="Calibri" w:hAnsi="Calibri" w:eastAsia="Calibri"/>
                <w:b/>
                <w:color w:val="FFFFFF"/>
                <w:sz w:val="17"/>
              </w:rPr>
              <w:t>Lead</w:t>
            </w:r>
          </w:p>
        </w:tc>
        <w:tc>
          <w:tcPr>
            <w:tcW w:type="dxa" w:w="2550"/>
            <w:tcMar>
              <w:top w:w="90" w:type="dxa"/>
              <w:start w:w="120" w:type="dxa"/>
              <w:bottom w:w="90" w:type="dxa"/>
              <w:end w:w="120" w:type="dxa"/>
            </w:tcMar>
            <w:vAlign w:val="center"/>
            <w:shd w:fill="17365D"/>
          </w:tcPr>
          <w:p>
            <w:pPr>
              <w:pStyle w:val="TableText"/>
              <w:jc w:val="left"/>
            </w:pPr>
            <w:r>
              <w:rPr>
                <w:rFonts w:ascii="Calibri" w:hAnsi="Calibri" w:eastAsia="Calibri"/>
                <w:b/>
                <w:color w:val="FFFFFF"/>
                <w:sz w:val="17"/>
              </w:rPr>
              <w:t>Key deliverable</w:t>
            </w:r>
          </w:p>
        </w:tc>
        <w:tc>
          <w:tcPr>
            <w:tcW w:type="dxa" w:w="2360"/>
            <w:tcMar>
              <w:top w:w="90" w:type="dxa"/>
              <w:start w:w="120" w:type="dxa"/>
              <w:bottom w:w="90" w:type="dxa"/>
              <w:end w:w="120" w:type="dxa"/>
            </w:tcMar>
            <w:vAlign w:val="center"/>
            <w:shd w:fill="17365D"/>
          </w:tcPr>
          <w:p>
            <w:pPr>
              <w:pStyle w:val="TableText"/>
              <w:jc w:val="left"/>
            </w:pPr>
            <w:r>
              <w:rPr>
                <w:rFonts w:ascii="Calibri" w:hAnsi="Calibri" w:eastAsia="Calibri"/>
                <w:b/>
                <w:color w:val="FFFFFF"/>
                <w:sz w:val="17"/>
              </w:rPr>
              <w:t>Acceptance evidence</w:t>
            </w:r>
          </w:p>
        </w:tc>
      </w:tr>
      <w:tr>
        <w:trPr>
          <w:cantSplit w:val="true"/>
        </w:trPr>
        <w:tc>
          <w:tcPr>
            <w:tcW w:type="dxa" w:w="850"/>
            <w:tcMar>
              <w:top w:w="90" w:type="dxa"/>
              <w:start w:w="120" w:type="dxa"/>
              <w:bottom w:w="90" w:type="dxa"/>
              <w:end w:w="120" w:type="dxa"/>
            </w:tcMar>
            <w:vAlign w:val="center"/>
          </w:tcPr>
          <w:p>
            <w:pPr>
              <w:pStyle w:val="TableText"/>
              <w:jc w:val="left"/>
            </w:pPr>
            <w:r>
              <w:rPr>
                <w:rFonts w:ascii="Calibri" w:hAnsi="Calibri" w:eastAsia="Calibri"/>
                <w:b w:val="0"/>
                <w:color w:val="1F2933"/>
                <w:sz w:val="17"/>
              </w:rPr>
              <w:t>GOV-01</w:t>
            </w:r>
          </w:p>
        </w:tc>
        <w:tc>
          <w:tcPr>
            <w:tcW w:type="dxa" w:w="2150"/>
            <w:tcMar>
              <w:top w:w="90" w:type="dxa"/>
              <w:start w:w="120" w:type="dxa"/>
              <w:bottom w:w="90" w:type="dxa"/>
              <w:end w:w="120" w:type="dxa"/>
            </w:tcMar>
            <w:vAlign w:val="center"/>
          </w:tcPr>
          <w:p>
            <w:pPr>
              <w:pStyle w:val="TableText"/>
              <w:jc w:val="left"/>
            </w:pPr>
            <w:r>
              <w:rPr>
                <w:rFonts w:ascii="Calibri" w:hAnsi="Calibri" w:eastAsia="Calibri"/>
                <w:b w:val="0"/>
                <w:color w:val="1F2933"/>
                <w:sz w:val="17"/>
              </w:rPr>
              <w:t>Programme charter and decision rights</w:t>
            </w:r>
          </w:p>
        </w:tc>
        <w:tc>
          <w:tcPr>
            <w:tcW w:type="dxa" w:w="1450"/>
            <w:tcMar>
              <w:top w:w="90" w:type="dxa"/>
              <w:start w:w="120" w:type="dxa"/>
              <w:bottom w:w="90" w:type="dxa"/>
              <w:end w:w="120" w:type="dxa"/>
            </w:tcMar>
            <w:vAlign w:val="center"/>
          </w:tcPr>
          <w:p>
            <w:pPr>
              <w:pStyle w:val="TableText"/>
              <w:jc w:val="left"/>
            </w:pPr>
            <w:r>
              <w:rPr>
                <w:rFonts w:ascii="Calibri" w:hAnsi="Calibri" w:eastAsia="Calibri"/>
                <w:b w:val="0"/>
                <w:color w:val="1F2933"/>
                <w:sz w:val="17"/>
              </w:rPr>
              <w:t>NITI/MoHFW/PSA</w:t>
            </w:r>
          </w:p>
        </w:tc>
        <w:tc>
          <w:tcPr>
            <w:tcW w:type="dxa" w:w="2550"/>
            <w:tcMar>
              <w:top w:w="90" w:type="dxa"/>
              <w:start w:w="120" w:type="dxa"/>
              <w:bottom w:w="90" w:type="dxa"/>
              <w:end w:w="120" w:type="dxa"/>
            </w:tcMar>
            <w:vAlign w:val="center"/>
          </w:tcPr>
          <w:p>
            <w:pPr>
              <w:pStyle w:val="TableText"/>
              <w:jc w:val="left"/>
            </w:pPr>
            <w:r>
              <w:rPr>
                <w:rFonts w:ascii="Calibri" w:hAnsi="Calibri" w:eastAsia="Calibri"/>
                <w:b w:val="0"/>
                <w:color w:val="1F2933"/>
                <w:sz w:val="17"/>
              </w:rPr>
              <w:t>Approved charter and RACI</w:t>
            </w:r>
          </w:p>
        </w:tc>
        <w:tc>
          <w:tcPr>
            <w:tcW w:type="dxa" w:w="2360"/>
            <w:tcMar>
              <w:top w:w="90" w:type="dxa"/>
              <w:start w:w="120" w:type="dxa"/>
              <w:bottom w:w="90" w:type="dxa"/>
              <w:end w:w="120" w:type="dxa"/>
            </w:tcMar>
            <w:vAlign w:val="center"/>
          </w:tcPr>
          <w:p>
            <w:pPr>
              <w:pStyle w:val="TableText"/>
              <w:jc w:val="left"/>
            </w:pPr>
            <w:r>
              <w:rPr>
                <w:rFonts w:ascii="Calibri" w:hAnsi="Calibri" w:eastAsia="Calibri"/>
                <w:b w:val="0"/>
                <w:color w:val="1F2933"/>
                <w:sz w:val="17"/>
              </w:rPr>
              <w:t>Signed order, funded unit, meeting calendar</w:t>
            </w:r>
          </w:p>
        </w:tc>
      </w:tr>
      <w:tr>
        <w:trPr>
          <w:cantSplit w:val="true"/>
        </w:trPr>
        <w:tc>
          <w:tcPr>
            <w:tcW w:type="dxa" w:w="850"/>
            <w:tcMar>
              <w:top w:w="90" w:type="dxa"/>
              <w:start w:w="120" w:type="dxa"/>
              <w:bottom w:w="90" w:type="dxa"/>
              <w:end w:w="120" w:type="dxa"/>
            </w:tcMar>
            <w:vAlign w:val="center"/>
            <w:shd w:fill="F4F6F9"/>
          </w:tcPr>
          <w:p>
            <w:pPr>
              <w:pStyle w:val="TableText"/>
              <w:jc w:val="left"/>
            </w:pPr>
            <w:r>
              <w:rPr>
                <w:rFonts w:ascii="Calibri" w:hAnsi="Calibri" w:eastAsia="Calibri"/>
                <w:b w:val="0"/>
                <w:color w:val="1F2933"/>
                <w:sz w:val="17"/>
              </w:rPr>
              <w:t>GOV-02</w:t>
            </w:r>
          </w:p>
        </w:tc>
        <w:tc>
          <w:tcPr>
            <w:tcW w:type="dxa" w:w="2150"/>
            <w:tcMar>
              <w:top w:w="90" w:type="dxa"/>
              <w:start w:w="120" w:type="dxa"/>
              <w:bottom w:w="90" w:type="dxa"/>
              <w:end w:w="120" w:type="dxa"/>
            </w:tcMar>
            <w:vAlign w:val="center"/>
            <w:shd w:fill="F4F6F9"/>
          </w:tcPr>
          <w:p>
            <w:pPr>
              <w:pStyle w:val="TableText"/>
              <w:jc w:val="left"/>
            </w:pPr>
            <w:r>
              <w:rPr>
                <w:rFonts w:ascii="Calibri" w:hAnsi="Calibri" w:eastAsia="Calibri"/>
                <w:b w:val="0"/>
                <w:color w:val="1F2933"/>
                <w:sz w:val="17"/>
              </w:rPr>
              <w:t>Sector and State/UT governance onboarding</w:t>
            </w:r>
          </w:p>
        </w:tc>
        <w:tc>
          <w:tcPr>
            <w:tcW w:type="dxa" w:w="1450"/>
            <w:tcMar>
              <w:top w:w="90" w:type="dxa"/>
              <w:start w:w="120" w:type="dxa"/>
              <w:bottom w:w="90" w:type="dxa"/>
              <w:end w:w="120" w:type="dxa"/>
            </w:tcMar>
            <w:vAlign w:val="center"/>
            <w:shd w:fill="F4F6F9"/>
          </w:tcPr>
          <w:p>
            <w:pPr>
              <w:pStyle w:val="TableText"/>
              <w:jc w:val="left"/>
            </w:pPr>
            <w:r>
              <w:rPr>
                <w:rFonts w:ascii="Calibri" w:hAnsi="Calibri" w:eastAsia="Calibri"/>
                <w:b w:val="0"/>
                <w:color w:val="1F2933"/>
                <w:sz w:val="17"/>
              </w:rPr>
              <w:t>NCDC + sector units</w:t>
            </w:r>
          </w:p>
        </w:tc>
        <w:tc>
          <w:tcPr>
            <w:tcW w:type="dxa" w:w="2550"/>
            <w:tcMar>
              <w:top w:w="90" w:type="dxa"/>
              <w:start w:w="120" w:type="dxa"/>
              <w:bottom w:w="90" w:type="dxa"/>
              <w:end w:w="120" w:type="dxa"/>
            </w:tcMar>
            <w:vAlign w:val="center"/>
            <w:shd w:fill="F4F6F9"/>
          </w:tcPr>
          <w:p>
            <w:pPr>
              <w:pStyle w:val="TableText"/>
              <w:jc w:val="left"/>
            </w:pPr>
            <w:r>
              <w:rPr>
                <w:rFonts w:ascii="Calibri" w:hAnsi="Calibri" w:eastAsia="Calibri"/>
                <w:b w:val="0"/>
                <w:color w:val="1F2933"/>
                <w:sz w:val="17"/>
              </w:rPr>
              <w:t>Standard MoU/DSA and onboarding kit</w:t>
            </w:r>
          </w:p>
        </w:tc>
        <w:tc>
          <w:tcPr>
            <w:tcW w:type="dxa" w:w="2360"/>
            <w:tcMar>
              <w:top w:w="90" w:type="dxa"/>
              <w:start w:w="120" w:type="dxa"/>
              <w:bottom w:w="90" w:type="dxa"/>
              <w:end w:w="120" w:type="dxa"/>
            </w:tcMar>
            <w:vAlign w:val="center"/>
            <w:shd w:fill="F4F6F9"/>
          </w:tcPr>
          <w:p>
            <w:pPr>
              <w:pStyle w:val="TableText"/>
              <w:jc w:val="left"/>
            </w:pPr>
            <w:r>
              <w:rPr>
                <w:rFonts w:ascii="Calibri" w:hAnsi="Calibri" w:eastAsia="Calibri"/>
                <w:b w:val="0"/>
                <w:color w:val="1F2933"/>
                <w:sz w:val="17"/>
              </w:rPr>
              <w:t>Pilot agreements executed</w:t>
            </w:r>
          </w:p>
        </w:tc>
      </w:tr>
      <w:tr>
        <w:trPr>
          <w:cantSplit w:val="true"/>
        </w:trPr>
        <w:tc>
          <w:tcPr>
            <w:tcW w:type="dxa" w:w="850"/>
            <w:tcMar>
              <w:top w:w="90" w:type="dxa"/>
              <w:start w:w="120" w:type="dxa"/>
              <w:bottom w:w="90" w:type="dxa"/>
              <w:end w:w="120" w:type="dxa"/>
            </w:tcMar>
            <w:vAlign w:val="center"/>
          </w:tcPr>
          <w:p>
            <w:pPr>
              <w:pStyle w:val="TableText"/>
              <w:jc w:val="left"/>
            </w:pPr>
            <w:r>
              <w:rPr>
                <w:rFonts w:ascii="Calibri" w:hAnsi="Calibri" w:eastAsia="Calibri"/>
                <w:b w:val="0"/>
                <w:color w:val="1F2933"/>
                <w:sz w:val="17"/>
              </w:rPr>
              <w:t>GOV-03</w:t>
            </w:r>
          </w:p>
        </w:tc>
        <w:tc>
          <w:tcPr>
            <w:tcW w:type="dxa" w:w="2150"/>
            <w:tcMar>
              <w:top w:w="90" w:type="dxa"/>
              <w:start w:w="120" w:type="dxa"/>
              <w:bottom w:w="90" w:type="dxa"/>
              <w:end w:w="120" w:type="dxa"/>
            </w:tcMar>
            <w:vAlign w:val="center"/>
          </w:tcPr>
          <w:p>
            <w:pPr>
              <w:pStyle w:val="TableText"/>
              <w:jc w:val="left"/>
            </w:pPr>
            <w:r>
              <w:rPr>
                <w:rFonts w:ascii="Calibri" w:hAnsi="Calibri" w:eastAsia="Calibri"/>
                <w:b w:val="0"/>
                <w:color w:val="1F2933"/>
                <w:sz w:val="17"/>
              </w:rPr>
              <w:t>Indicator and methods board</w:t>
            </w:r>
          </w:p>
        </w:tc>
        <w:tc>
          <w:tcPr>
            <w:tcW w:type="dxa" w:w="1450"/>
            <w:tcMar>
              <w:top w:w="90" w:type="dxa"/>
              <w:start w:w="120" w:type="dxa"/>
              <w:bottom w:w="90" w:type="dxa"/>
              <w:end w:w="120" w:type="dxa"/>
            </w:tcMar>
            <w:vAlign w:val="center"/>
          </w:tcPr>
          <w:p>
            <w:pPr>
              <w:pStyle w:val="TableText"/>
              <w:jc w:val="left"/>
            </w:pPr>
            <w:r>
              <w:rPr>
                <w:rFonts w:ascii="Calibri" w:hAnsi="Calibri" w:eastAsia="Calibri"/>
                <w:b w:val="0"/>
                <w:color w:val="1F2933"/>
                <w:sz w:val="17"/>
              </w:rPr>
              <w:t>NCDC/ICMR/sector experts</w:t>
            </w:r>
          </w:p>
        </w:tc>
        <w:tc>
          <w:tcPr>
            <w:tcW w:type="dxa" w:w="2550"/>
            <w:tcMar>
              <w:top w:w="90" w:type="dxa"/>
              <w:start w:w="120" w:type="dxa"/>
              <w:bottom w:w="90" w:type="dxa"/>
              <w:end w:w="120" w:type="dxa"/>
            </w:tcMar>
            <w:vAlign w:val="center"/>
          </w:tcPr>
          <w:p>
            <w:pPr>
              <w:pStyle w:val="TableText"/>
              <w:jc w:val="left"/>
            </w:pPr>
            <w:r>
              <w:rPr>
                <w:rFonts w:ascii="Calibri" w:hAnsi="Calibri" w:eastAsia="Calibri"/>
                <w:b w:val="0"/>
                <w:color w:val="1F2933"/>
                <w:sz w:val="17"/>
              </w:rPr>
              <w:t>Versioned national indicator catalogue</w:t>
            </w:r>
          </w:p>
        </w:tc>
        <w:tc>
          <w:tcPr>
            <w:tcW w:type="dxa" w:w="2360"/>
            <w:tcMar>
              <w:top w:w="90" w:type="dxa"/>
              <w:start w:w="120" w:type="dxa"/>
              <w:bottom w:w="90" w:type="dxa"/>
              <w:end w:w="120" w:type="dxa"/>
            </w:tcMar>
            <w:vAlign w:val="center"/>
          </w:tcPr>
          <w:p>
            <w:pPr>
              <w:pStyle w:val="TableText"/>
              <w:jc w:val="left"/>
            </w:pPr>
            <w:r>
              <w:rPr>
                <w:rFonts w:ascii="Calibri" w:hAnsi="Calibri" w:eastAsia="Calibri"/>
                <w:b w:val="0"/>
                <w:color w:val="1F2933"/>
                <w:sz w:val="17"/>
              </w:rPr>
              <w:t>Published definitions and change log</w:t>
            </w:r>
          </w:p>
        </w:tc>
      </w:tr>
      <w:tr>
        <w:trPr>
          <w:cantSplit w:val="true"/>
        </w:trPr>
        <w:tc>
          <w:tcPr>
            <w:tcW w:type="dxa" w:w="850"/>
            <w:tcMar>
              <w:top w:w="90" w:type="dxa"/>
              <w:start w:w="120" w:type="dxa"/>
              <w:bottom w:w="90" w:type="dxa"/>
              <w:end w:w="120" w:type="dxa"/>
            </w:tcMar>
            <w:vAlign w:val="center"/>
            <w:shd w:fill="F4F6F9"/>
          </w:tcPr>
          <w:p>
            <w:pPr>
              <w:pStyle w:val="TableText"/>
              <w:jc w:val="left"/>
            </w:pPr>
            <w:r>
              <w:rPr>
                <w:rFonts w:ascii="Calibri" w:hAnsi="Calibri" w:eastAsia="Calibri"/>
                <w:b w:val="0"/>
                <w:color w:val="1F2933"/>
                <w:sz w:val="17"/>
              </w:rPr>
              <w:t>ARC-01</w:t>
            </w:r>
          </w:p>
        </w:tc>
        <w:tc>
          <w:tcPr>
            <w:tcW w:type="dxa" w:w="2150"/>
            <w:tcMar>
              <w:top w:w="90" w:type="dxa"/>
              <w:start w:w="120" w:type="dxa"/>
              <w:bottom w:w="90" w:type="dxa"/>
              <w:end w:w="120" w:type="dxa"/>
            </w:tcMar>
            <w:vAlign w:val="center"/>
            <w:shd w:fill="F4F6F9"/>
          </w:tcPr>
          <w:p>
            <w:pPr>
              <w:pStyle w:val="TableText"/>
              <w:jc w:val="left"/>
            </w:pPr>
            <w:r>
              <w:rPr>
                <w:rFonts w:ascii="Calibri" w:hAnsi="Calibri" w:eastAsia="Calibri"/>
                <w:b w:val="0"/>
                <w:color w:val="1F2933"/>
                <w:sz w:val="17"/>
              </w:rPr>
              <w:t>Enterprise architecture</w:t>
            </w:r>
          </w:p>
        </w:tc>
        <w:tc>
          <w:tcPr>
            <w:tcW w:type="dxa" w:w="1450"/>
            <w:tcMar>
              <w:top w:w="90" w:type="dxa"/>
              <w:start w:w="120" w:type="dxa"/>
              <w:bottom w:w="90" w:type="dxa"/>
              <w:end w:w="120" w:type="dxa"/>
            </w:tcMar>
            <w:vAlign w:val="center"/>
            <w:shd w:fill="F4F6F9"/>
          </w:tcPr>
          <w:p>
            <w:pPr>
              <w:pStyle w:val="TableText"/>
              <w:jc w:val="left"/>
            </w:pPr>
            <w:r>
              <w:rPr>
                <w:rFonts w:ascii="Calibri" w:hAnsi="Calibri" w:eastAsia="Calibri"/>
                <w:b w:val="0"/>
                <w:color w:val="1F2933"/>
                <w:sz w:val="17"/>
              </w:rPr>
              <w:t>Mission Unit</w:t>
            </w:r>
          </w:p>
        </w:tc>
        <w:tc>
          <w:tcPr>
            <w:tcW w:type="dxa" w:w="2550"/>
            <w:tcMar>
              <w:top w:w="90" w:type="dxa"/>
              <w:start w:w="120" w:type="dxa"/>
              <w:bottom w:w="90" w:type="dxa"/>
              <w:end w:w="120" w:type="dxa"/>
            </w:tcMar>
            <w:vAlign w:val="center"/>
            <w:shd w:fill="F4F6F9"/>
          </w:tcPr>
          <w:p>
            <w:pPr>
              <w:pStyle w:val="TableText"/>
              <w:jc w:val="left"/>
            </w:pPr>
            <w:r>
              <w:rPr>
                <w:rFonts w:ascii="Calibri" w:hAnsi="Calibri" w:eastAsia="Calibri"/>
                <w:b w:val="0"/>
                <w:color w:val="1F2933"/>
                <w:sz w:val="17"/>
              </w:rPr>
              <w:t>Target architecture and ADR register</w:t>
            </w:r>
          </w:p>
        </w:tc>
        <w:tc>
          <w:tcPr>
            <w:tcW w:type="dxa" w:w="2360"/>
            <w:tcMar>
              <w:top w:w="90" w:type="dxa"/>
              <w:start w:w="120" w:type="dxa"/>
              <w:bottom w:w="90" w:type="dxa"/>
              <w:end w:w="120" w:type="dxa"/>
            </w:tcMar>
            <w:vAlign w:val="center"/>
            <w:shd w:fill="F4F6F9"/>
          </w:tcPr>
          <w:p>
            <w:pPr>
              <w:pStyle w:val="TableText"/>
              <w:jc w:val="left"/>
            </w:pPr>
            <w:r>
              <w:rPr>
                <w:rFonts w:ascii="Calibri" w:hAnsi="Calibri" w:eastAsia="Calibri"/>
                <w:b w:val="0"/>
                <w:color w:val="1F2933"/>
                <w:sz w:val="17"/>
              </w:rPr>
              <w:t>Independent architecture review</w:t>
            </w:r>
          </w:p>
        </w:tc>
      </w:tr>
      <w:tr>
        <w:trPr>
          <w:cantSplit w:val="true"/>
        </w:trPr>
        <w:tc>
          <w:tcPr>
            <w:tcW w:type="dxa" w:w="850"/>
            <w:tcMar>
              <w:top w:w="90" w:type="dxa"/>
              <w:start w:w="120" w:type="dxa"/>
              <w:bottom w:w="90" w:type="dxa"/>
              <w:end w:w="120" w:type="dxa"/>
            </w:tcMar>
            <w:vAlign w:val="center"/>
          </w:tcPr>
          <w:p>
            <w:pPr>
              <w:pStyle w:val="TableText"/>
              <w:jc w:val="left"/>
            </w:pPr>
            <w:r>
              <w:rPr>
                <w:rFonts w:ascii="Calibri" w:hAnsi="Calibri" w:eastAsia="Calibri"/>
                <w:b w:val="0"/>
                <w:color w:val="1F2933"/>
                <w:sz w:val="17"/>
              </w:rPr>
              <w:t>ARC-02</w:t>
            </w:r>
          </w:p>
        </w:tc>
        <w:tc>
          <w:tcPr>
            <w:tcW w:type="dxa" w:w="2150"/>
            <w:tcMar>
              <w:top w:w="90" w:type="dxa"/>
              <w:start w:w="120" w:type="dxa"/>
              <w:bottom w:w="90" w:type="dxa"/>
              <w:end w:w="120" w:type="dxa"/>
            </w:tcMar>
            <w:vAlign w:val="center"/>
          </w:tcPr>
          <w:p>
            <w:pPr>
              <w:pStyle w:val="TableText"/>
              <w:jc w:val="left"/>
            </w:pPr>
            <w:r>
              <w:rPr>
                <w:rFonts w:ascii="Calibri" w:hAnsi="Calibri" w:eastAsia="Calibri"/>
                <w:b w:val="0"/>
                <w:color w:val="1F2933"/>
                <w:sz w:val="17"/>
              </w:rPr>
              <w:t>National implementation guide</w:t>
            </w:r>
          </w:p>
        </w:tc>
        <w:tc>
          <w:tcPr>
            <w:tcW w:type="dxa" w:w="1450"/>
            <w:tcMar>
              <w:top w:w="90" w:type="dxa"/>
              <w:start w:w="120" w:type="dxa"/>
              <w:bottom w:w="90" w:type="dxa"/>
              <w:end w:w="120" w:type="dxa"/>
            </w:tcMar>
            <w:vAlign w:val="center"/>
          </w:tcPr>
          <w:p>
            <w:pPr>
              <w:pStyle w:val="TableText"/>
              <w:jc w:val="left"/>
            </w:pPr>
            <w:r>
              <w:rPr>
                <w:rFonts w:ascii="Calibri" w:hAnsi="Calibri" w:eastAsia="Calibri"/>
                <w:b w:val="0"/>
                <w:color w:val="1F2933"/>
                <w:sz w:val="17"/>
              </w:rPr>
              <w:t>Standards TWG</w:t>
            </w:r>
          </w:p>
        </w:tc>
        <w:tc>
          <w:tcPr>
            <w:tcW w:type="dxa" w:w="2550"/>
            <w:tcMar>
              <w:top w:w="90" w:type="dxa"/>
              <w:start w:w="120" w:type="dxa"/>
              <w:bottom w:w="90" w:type="dxa"/>
              <w:end w:w="120" w:type="dxa"/>
            </w:tcMar>
            <w:vAlign w:val="center"/>
          </w:tcPr>
          <w:p>
            <w:pPr>
              <w:pStyle w:val="TableText"/>
              <w:jc w:val="left"/>
            </w:pPr>
            <w:r>
              <w:rPr>
                <w:rFonts w:ascii="Calibri" w:hAnsi="Calibri" w:eastAsia="Calibri"/>
                <w:b w:val="0"/>
                <w:color w:val="1F2933"/>
                <w:sz w:val="17"/>
              </w:rPr>
              <w:t>FHIR/WHONET/AMU/sector profiles</w:t>
            </w:r>
          </w:p>
        </w:tc>
        <w:tc>
          <w:tcPr>
            <w:tcW w:type="dxa" w:w="2360"/>
            <w:tcMar>
              <w:top w:w="90" w:type="dxa"/>
              <w:start w:w="120" w:type="dxa"/>
              <w:bottom w:w="90" w:type="dxa"/>
              <w:end w:w="120" w:type="dxa"/>
            </w:tcMar>
            <w:vAlign w:val="center"/>
          </w:tcPr>
          <w:p>
            <w:pPr>
              <w:pStyle w:val="TableText"/>
              <w:jc w:val="left"/>
            </w:pPr>
            <w:r>
              <w:rPr>
                <w:rFonts w:ascii="Calibri" w:hAnsi="Calibri" w:eastAsia="Calibri"/>
                <w:b w:val="0"/>
                <w:color w:val="1F2933"/>
                <w:sz w:val="17"/>
              </w:rPr>
              <w:t>Conformance suite passes</w:t>
            </w:r>
          </w:p>
        </w:tc>
      </w:tr>
      <w:tr>
        <w:trPr>
          <w:cantSplit w:val="true"/>
        </w:trPr>
        <w:tc>
          <w:tcPr>
            <w:tcW w:type="dxa" w:w="850"/>
            <w:tcMar>
              <w:top w:w="90" w:type="dxa"/>
              <w:start w:w="120" w:type="dxa"/>
              <w:bottom w:w="90" w:type="dxa"/>
              <w:end w:w="120" w:type="dxa"/>
            </w:tcMar>
            <w:vAlign w:val="center"/>
            <w:shd w:fill="F4F6F9"/>
          </w:tcPr>
          <w:p>
            <w:pPr>
              <w:pStyle w:val="TableText"/>
              <w:jc w:val="left"/>
            </w:pPr>
            <w:r>
              <w:rPr>
                <w:rFonts w:ascii="Calibri" w:hAnsi="Calibri" w:eastAsia="Calibri"/>
                <w:b w:val="0"/>
                <w:color w:val="1F2933"/>
                <w:sz w:val="17"/>
              </w:rPr>
              <w:t>ARC-03</w:t>
            </w:r>
          </w:p>
        </w:tc>
        <w:tc>
          <w:tcPr>
            <w:tcW w:type="dxa" w:w="2150"/>
            <w:tcMar>
              <w:top w:w="90" w:type="dxa"/>
              <w:start w:w="120" w:type="dxa"/>
              <w:bottom w:w="90" w:type="dxa"/>
              <w:end w:w="120" w:type="dxa"/>
            </w:tcMar>
            <w:vAlign w:val="center"/>
            <w:shd w:fill="F4F6F9"/>
          </w:tcPr>
          <w:p>
            <w:pPr>
              <w:pStyle w:val="TableText"/>
              <w:jc w:val="left"/>
            </w:pPr>
            <w:r>
              <w:rPr>
                <w:rFonts w:ascii="Calibri" w:hAnsi="Calibri" w:eastAsia="Calibri"/>
                <w:b w:val="0"/>
                <w:color w:val="1F2933"/>
                <w:sz w:val="17"/>
              </w:rPr>
              <w:t>Master-data service</w:t>
            </w:r>
          </w:p>
        </w:tc>
        <w:tc>
          <w:tcPr>
            <w:tcW w:type="dxa" w:w="1450"/>
            <w:tcMar>
              <w:top w:w="90" w:type="dxa"/>
              <w:start w:w="120" w:type="dxa"/>
              <w:bottom w:w="90" w:type="dxa"/>
              <w:end w:w="120" w:type="dxa"/>
            </w:tcMar>
            <w:vAlign w:val="center"/>
            <w:shd w:fill="F4F6F9"/>
          </w:tcPr>
          <w:p>
            <w:pPr>
              <w:pStyle w:val="TableText"/>
              <w:jc w:val="left"/>
            </w:pPr>
            <w:r>
              <w:rPr>
                <w:rFonts w:ascii="Calibri" w:hAnsi="Calibri" w:eastAsia="Calibri"/>
                <w:b w:val="0"/>
                <w:color w:val="1F2933"/>
                <w:sz w:val="17"/>
              </w:rPr>
              <w:t>Mission Unit + owners</w:t>
            </w:r>
          </w:p>
        </w:tc>
        <w:tc>
          <w:tcPr>
            <w:tcW w:type="dxa" w:w="2550"/>
            <w:tcMar>
              <w:top w:w="90" w:type="dxa"/>
              <w:start w:w="120" w:type="dxa"/>
              <w:bottom w:w="90" w:type="dxa"/>
              <w:end w:w="120" w:type="dxa"/>
            </w:tcMar>
            <w:vAlign w:val="center"/>
            <w:shd w:fill="F4F6F9"/>
          </w:tcPr>
          <w:p>
            <w:pPr>
              <w:pStyle w:val="TableText"/>
              <w:jc w:val="left"/>
            </w:pPr>
            <w:r>
              <w:rPr>
                <w:rFonts w:ascii="Calibri" w:hAnsi="Calibri" w:eastAsia="Calibri"/>
                <w:b w:val="0"/>
                <w:color w:val="1F2933"/>
                <w:sz w:val="17"/>
              </w:rPr>
              <w:t>Signed offline packages and APIs</w:t>
            </w:r>
          </w:p>
        </w:tc>
        <w:tc>
          <w:tcPr>
            <w:tcW w:type="dxa" w:w="2360"/>
            <w:tcMar>
              <w:top w:w="90" w:type="dxa"/>
              <w:start w:w="120" w:type="dxa"/>
              <w:bottom w:w="90" w:type="dxa"/>
              <w:end w:w="120" w:type="dxa"/>
            </w:tcMar>
            <w:vAlign w:val="center"/>
            <w:shd w:fill="F4F6F9"/>
          </w:tcPr>
          <w:p>
            <w:pPr>
              <w:pStyle w:val="TableText"/>
              <w:jc w:val="left"/>
            </w:pPr>
            <w:r>
              <w:rPr>
                <w:rFonts w:ascii="Calibri" w:hAnsi="Calibri" w:eastAsia="Calibri"/>
                <w:b w:val="0"/>
                <w:color w:val="1F2933"/>
                <w:sz w:val="17"/>
              </w:rPr>
              <w:t>Version/rollback test</w:t>
            </w:r>
          </w:p>
        </w:tc>
      </w:tr>
      <w:tr>
        <w:trPr>
          <w:cantSplit w:val="true"/>
        </w:trPr>
        <w:tc>
          <w:tcPr>
            <w:tcW w:type="dxa" w:w="850"/>
            <w:tcMar>
              <w:top w:w="90" w:type="dxa"/>
              <w:start w:w="120" w:type="dxa"/>
              <w:bottom w:w="90" w:type="dxa"/>
              <w:end w:w="120" w:type="dxa"/>
            </w:tcMar>
            <w:vAlign w:val="center"/>
          </w:tcPr>
          <w:p>
            <w:pPr>
              <w:pStyle w:val="TableText"/>
              <w:jc w:val="left"/>
            </w:pPr>
            <w:r>
              <w:rPr>
                <w:rFonts w:ascii="Calibri" w:hAnsi="Calibri" w:eastAsia="Calibri"/>
                <w:b w:val="0"/>
                <w:color w:val="1F2933"/>
                <w:sz w:val="17"/>
              </w:rPr>
              <w:t>EDGE-01</w:t>
            </w:r>
          </w:p>
        </w:tc>
        <w:tc>
          <w:tcPr>
            <w:tcW w:type="dxa" w:w="2150"/>
            <w:tcMar>
              <w:top w:w="90" w:type="dxa"/>
              <w:start w:w="120" w:type="dxa"/>
              <w:bottom w:w="90" w:type="dxa"/>
              <w:end w:w="120" w:type="dxa"/>
            </w:tcMar>
            <w:vAlign w:val="center"/>
          </w:tcPr>
          <w:p>
            <w:pPr>
              <w:pStyle w:val="TableText"/>
              <w:jc w:val="left"/>
            </w:pPr>
            <w:r>
              <w:rPr>
                <w:rFonts w:ascii="Calibri" w:hAnsi="Calibri" w:eastAsia="Calibri"/>
                <w:b w:val="0"/>
                <w:color w:val="1F2933"/>
                <w:sz w:val="17"/>
              </w:rPr>
              <w:t>Desktop security hardening</w:t>
            </w:r>
          </w:p>
        </w:tc>
        <w:tc>
          <w:tcPr>
            <w:tcW w:type="dxa" w:w="1450"/>
            <w:tcMar>
              <w:top w:w="90" w:type="dxa"/>
              <w:start w:w="120" w:type="dxa"/>
              <w:bottom w:w="90" w:type="dxa"/>
              <w:end w:w="120" w:type="dxa"/>
            </w:tcMar>
            <w:vAlign w:val="center"/>
          </w:tcPr>
          <w:p>
            <w:pPr>
              <w:pStyle w:val="TableText"/>
              <w:jc w:val="left"/>
            </w:pPr>
            <w:r>
              <w:rPr>
                <w:rFonts w:ascii="Calibri" w:hAnsi="Calibri" w:eastAsia="Calibri"/>
                <w:b w:val="0"/>
                <w:color w:val="1F2933"/>
                <w:sz w:val="17"/>
              </w:rPr>
              <w:t>Product team</w:t>
            </w:r>
          </w:p>
        </w:tc>
        <w:tc>
          <w:tcPr>
            <w:tcW w:type="dxa" w:w="2550"/>
            <w:tcMar>
              <w:top w:w="90" w:type="dxa"/>
              <w:start w:w="120" w:type="dxa"/>
              <w:bottom w:w="90" w:type="dxa"/>
              <w:end w:w="120" w:type="dxa"/>
            </w:tcMar>
            <w:vAlign w:val="center"/>
          </w:tcPr>
          <w:p>
            <w:pPr>
              <w:pStyle w:val="TableText"/>
              <w:jc w:val="left"/>
            </w:pPr>
            <w:r>
              <w:rPr>
                <w:rFonts w:ascii="Calibri" w:hAnsi="Calibri" w:eastAsia="Calibri"/>
                <w:b w:val="0"/>
                <w:color w:val="1F2933"/>
                <w:sz w:val="17"/>
              </w:rPr>
              <w:t>Encrypted, signed, role-aware client</w:t>
            </w:r>
          </w:p>
        </w:tc>
        <w:tc>
          <w:tcPr>
            <w:tcW w:type="dxa" w:w="2360"/>
            <w:tcMar>
              <w:top w:w="90" w:type="dxa"/>
              <w:start w:w="120" w:type="dxa"/>
              <w:bottom w:w="90" w:type="dxa"/>
              <w:end w:w="120" w:type="dxa"/>
            </w:tcMar>
            <w:vAlign w:val="center"/>
          </w:tcPr>
          <w:p>
            <w:pPr>
              <w:pStyle w:val="TableText"/>
              <w:jc w:val="left"/>
            </w:pPr>
            <w:r>
              <w:rPr>
                <w:rFonts w:ascii="Calibri" w:hAnsi="Calibri" w:eastAsia="Calibri"/>
                <w:b w:val="0"/>
                <w:color w:val="1F2933"/>
                <w:sz w:val="17"/>
              </w:rPr>
              <w:t>Threat-model and VAPT closure</w:t>
            </w:r>
          </w:p>
        </w:tc>
      </w:tr>
      <w:tr>
        <w:trPr>
          <w:cantSplit w:val="true"/>
        </w:trPr>
        <w:tc>
          <w:tcPr>
            <w:tcW w:type="dxa" w:w="850"/>
            <w:tcMar>
              <w:top w:w="90" w:type="dxa"/>
              <w:start w:w="120" w:type="dxa"/>
              <w:bottom w:w="90" w:type="dxa"/>
              <w:end w:w="120" w:type="dxa"/>
            </w:tcMar>
            <w:vAlign w:val="center"/>
            <w:shd w:fill="F4F6F9"/>
          </w:tcPr>
          <w:p>
            <w:pPr>
              <w:pStyle w:val="TableText"/>
              <w:jc w:val="left"/>
            </w:pPr>
            <w:r>
              <w:rPr>
                <w:rFonts w:ascii="Calibri" w:hAnsi="Calibri" w:eastAsia="Calibri"/>
                <w:b w:val="0"/>
                <w:color w:val="1F2933"/>
                <w:sz w:val="17"/>
              </w:rPr>
              <w:t>EDGE-02</w:t>
            </w:r>
          </w:p>
        </w:tc>
        <w:tc>
          <w:tcPr>
            <w:tcW w:type="dxa" w:w="2150"/>
            <w:tcMar>
              <w:top w:w="90" w:type="dxa"/>
              <w:start w:w="120" w:type="dxa"/>
              <w:bottom w:w="90" w:type="dxa"/>
              <w:end w:w="120" w:type="dxa"/>
            </w:tcMar>
            <w:vAlign w:val="center"/>
            <w:shd w:fill="F4F6F9"/>
          </w:tcPr>
          <w:p>
            <w:pPr>
              <w:pStyle w:val="TableText"/>
              <w:jc w:val="left"/>
            </w:pPr>
            <w:r>
              <w:rPr>
                <w:rFonts w:ascii="Calibri" w:hAnsi="Calibri" w:eastAsia="Calibri"/>
                <w:b w:val="0"/>
                <w:color w:val="1F2933"/>
                <w:sz w:val="17"/>
              </w:rPr>
              <w:t>Data migration and backup</w:t>
            </w:r>
          </w:p>
        </w:tc>
        <w:tc>
          <w:tcPr>
            <w:tcW w:type="dxa" w:w="1450"/>
            <w:tcMar>
              <w:top w:w="90" w:type="dxa"/>
              <w:start w:w="120" w:type="dxa"/>
              <w:bottom w:w="90" w:type="dxa"/>
              <w:end w:w="120" w:type="dxa"/>
            </w:tcMar>
            <w:vAlign w:val="center"/>
            <w:shd w:fill="F4F6F9"/>
          </w:tcPr>
          <w:p>
            <w:pPr>
              <w:pStyle w:val="TableText"/>
              <w:jc w:val="left"/>
            </w:pPr>
            <w:r>
              <w:rPr>
                <w:rFonts w:ascii="Calibri" w:hAnsi="Calibri" w:eastAsia="Calibri"/>
                <w:b w:val="0"/>
                <w:color w:val="1F2933"/>
                <w:sz w:val="17"/>
              </w:rPr>
              <w:t>Product team</w:t>
            </w:r>
          </w:p>
        </w:tc>
        <w:tc>
          <w:tcPr>
            <w:tcW w:type="dxa" w:w="2550"/>
            <w:tcMar>
              <w:top w:w="90" w:type="dxa"/>
              <w:start w:w="120" w:type="dxa"/>
              <w:bottom w:w="90" w:type="dxa"/>
              <w:end w:w="120" w:type="dxa"/>
            </w:tcMar>
            <w:vAlign w:val="center"/>
            <w:shd w:fill="F4F6F9"/>
          </w:tcPr>
          <w:p>
            <w:pPr>
              <w:pStyle w:val="TableText"/>
              <w:jc w:val="left"/>
            </w:pPr>
            <w:r>
              <w:rPr>
                <w:rFonts w:ascii="Calibri" w:hAnsi="Calibri" w:eastAsia="Calibri"/>
                <w:b w:val="0"/>
                <w:color w:val="1F2933"/>
                <w:sz w:val="17"/>
              </w:rPr>
              <w:t>Reversible schema migrations</w:t>
            </w:r>
          </w:p>
        </w:tc>
        <w:tc>
          <w:tcPr>
            <w:tcW w:type="dxa" w:w="2360"/>
            <w:tcMar>
              <w:top w:w="90" w:type="dxa"/>
              <w:start w:w="120" w:type="dxa"/>
              <w:bottom w:w="90" w:type="dxa"/>
              <w:end w:w="120" w:type="dxa"/>
            </w:tcMar>
            <w:vAlign w:val="center"/>
            <w:shd w:fill="F4F6F9"/>
          </w:tcPr>
          <w:p>
            <w:pPr>
              <w:pStyle w:val="TableText"/>
              <w:jc w:val="left"/>
            </w:pPr>
            <w:r>
              <w:rPr>
                <w:rFonts w:ascii="Calibri" w:hAnsi="Calibri" w:eastAsia="Calibri"/>
                <w:b w:val="0"/>
                <w:color w:val="1F2933"/>
                <w:sz w:val="17"/>
              </w:rPr>
              <w:t>Upgrade/restore test on reference DBs</w:t>
            </w:r>
          </w:p>
        </w:tc>
      </w:tr>
      <w:tr>
        <w:trPr>
          <w:cantSplit w:val="true"/>
        </w:trPr>
        <w:tc>
          <w:tcPr>
            <w:tcW w:type="dxa" w:w="850"/>
            <w:tcMar>
              <w:top w:w="90" w:type="dxa"/>
              <w:start w:w="120" w:type="dxa"/>
              <w:bottom w:w="90" w:type="dxa"/>
              <w:end w:w="120" w:type="dxa"/>
            </w:tcMar>
            <w:vAlign w:val="center"/>
          </w:tcPr>
          <w:p>
            <w:pPr>
              <w:pStyle w:val="TableText"/>
              <w:jc w:val="left"/>
            </w:pPr>
            <w:r>
              <w:rPr>
                <w:rFonts w:ascii="Calibri" w:hAnsi="Calibri" w:eastAsia="Calibri"/>
                <w:b w:val="0"/>
                <w:color w:val="1F2933"/>
                <w:sz w:val="17"/>
              </w:rPr>
              <w:t>EDGE-03</w:t>
            </w:r>
          </w:p>
        </w:tc>
        <w:tc>
          <w:tcPr>
            <w:tcW w:type="dxa" w:w="2150"/>
            <w:tcMar>
              <w:top w:w="90" w:type="dxa"/>
              <w:start w:w="120" w:type="dxa"/>
              <w:bottom w:w="90" w:type="dxa"/>
              <w:end w:w="120" w:type="dxa"/>
            </w:tcMar>
            <w:vAlign w:val="center"/>
          </w:tcPr>
          <w:p>
            <w:pPr>
              <w:pStyle w:val="TableText"/>
              <w:jc w:val="left"/>
            </w:pPr>
            <w:r>
              <w:rPr>
                <w:rFonts w:ascii="Calibri" w:hAnsi="Calibri" w:eastAsia="Calibri"/>
                <w:b w:val="0"/>
                <w:color w:val="1F2933"/>
                <w:sz w:val="17"/>
              </w:rPr>
              <w:t>Import and mapping studio</w:t>
            </w:r>
          </w:p>
        </w:tc>
        <w:tc>
          <w:tcPr>
            <w:tcW w:type="dxa" w:w="1450"/>
            <w:tcMar>
              <w:top w:w="90" w:type="dxa"/>
              <w:start w:w="120" w:type="dxa"/>
              <w:bottom w:w="90" w:type="dxa"/>
              <w:end w:w="120" w:type="dxa"/>
            </w:tcMar>
            <w:vAlign w:val="center"/>
          </w:tcPr>
          <w:p>
            <w:pPr>
              <w:pStyle w:val="TableText"/>
              <w:jc w:val="left"/>
            </w:pPr>
            <w:r>
              <w:rPr>
                <w:rFonts w:ascii="Calibri" w:hAnsi="Calibri" w:eastAsia="Calibri"/>
                <w:b w:val="0"/>
                <w:color w:val="1F2933"/>
                <w:sz w:val="17"/>
              </w:rPr>
              <w:t>Product team</w:t>
            </w:r>
          </w:p>
        </w:tc>
        <w:tc>
          <w:tcPr>
            <w:tcW w:type="dxa" w:w="2550"/>
            <w:tcMar>
              <w:top w:w="90" w:type="dxa"/>
              <w:start w:w="120" w:type="dxa"/>
              <w:bottom w:w="90" w:type="dxa"/>
              <w:end w:w="120" w:type="dxa"/>
            </w:tcMar>
            <w:vAlign w:val="center"/>
          </w:tcPr>
          <w:p>
            <w:pPr>
              <w:pStyle w:val="TableText"/>
              <w:jc w:val="left"/>
            </w:pPr>
            <w:r>
              <w:rPr>
                <w:rFonts w:ascii="Calibri" w:hAnsi="Calibri" w:eastAsia="Calibri"/>
                <w:b w:val="0"/>
                <w:color w:val="1F2933"/>
                <w:sz w:val="17"/>
              </w:rPr>
              <w:t>Reusable LIS/CSV/WHONET mappings</w:t>
            </w:r>
          </w:p>
        </w:tc>
        <w:tc>
          <w:tcPr>
            <w:tcW w:type="dxa" w:w="2360"/>
            <w:tcMar>
              <w:top w:w="90" w:type="dxa"/>
              <w:start w:w="120" w:type="dxa"/>
              <w:bottom w:w="90" w:type="dxa"/>
              <w:end w:w="120" w:type="dxa"/>
            </w:tcMar>
            <w:vAlign w:val="center"/>
          </w:tcPr>
          <w:p>
            <w:pPr>
              <w:pStyle w:val="TableText"/>
              <w:jc w:val="left"/>
            </w:pPr>
            <w:r>
              <w:rPr>
                <w:rFonts w:ascii="Calibri" w:hAnsi="Calibri" w:eastAsia="Calibri"/>
                <w:b w:val="0"/>
                <w:color w:val="1F2933"/>
                <w:sz w:val="17"/>
              </w:rPr>
              <w:t>≥95% reference import accuracy</w:t>
            </w:r>
          </w:p>
        </w:tc>
      </w:tr>
      <w:tr>
        <w:trPr>
          <w:cantSplit w:val="true"/>
        </w:trPr>
        <w:tc>
          <w:tcPr>
            <w:tcW w:type="dxa" w:w="850"/>
            <w:tcMar>
              <w:top w:w="90" w:type="dxa"/>
              <w:start w:w="120" w:type="dxa"/>
              <w:bottom w:w="90" w:type="dxa"/>
              <w:end w:w="120" w:type="dxa"/>
            </w:tcMar>
            <w:vAlign w:val="center"/>
            <w:shd w:fill="F4F6F9"/>
          </w:tcPr>
          <w:p>
            <w:pPr>
              <w:pStyle w:val="TableText"/>
              <w:jc w:val="left"/>
            </w:pPr>
            <w:r>
              <w:rPr>
                <w:rFonts w:ascii="Calibri" w:hAnsi="Calibri" w:eastAsia="Calibri"/>
                <w:b w:val="0"/>
                <w:color w:val="1F2933"/>
                <w:sz w:val="17"/>
              </w:rPr>
              <w:t>EDGE-04</w:t>
            </w:r>
          </w:p>
        </w:tc>
        <w:tc>
          <w:tcPr>
            <w:tcW w:type="dxa" w:w="2150"/>
            <w:tcMar>
              <w:top w:w="90" w:type="dxa"/>
              <w:start w:w="120" w:type="dxa"/>
              <w:bottom w:w="90" w:type="dxa"/>
              <w:end w:w="120" w:type="dxa"/>
            </w:tcMar>
            <w:vAlign w:val="center"/>
            <w:shd w:fill="F4F6F9"/>
          </w:tcPr>
          <w:p>
            <w:pPr>
              <w:pStyle w:val="TableText"/>
              <w:jc w:val="left"/>
            </w:pPr>
            <w:r>
              <w:rPr>
                <w:rFonts w:ascii="Calibri" w:hAnsi="Calibri" w:eastAsia="Calibri"/>
                <w:b w:val="0"/>
                <w:color w:val="1F2933"/>
                <w:sz w:val="17"/>
              </w:rPr>
              <w:t>Durable sync and reconciliation</w:t>
            </w:r>
          </w:p>
        </w:tc>
        <w:tc>
          <w:tcPr>
            <w:tcW w:type="dxa" w:w="1450"/>
            <w:tcMar>
              <w:top w:w="90" w:type="dxa"/>
              <w:start w:w="120" w:type="dxa"/>
              <w:bottom w:w="90" w:type="dxa"/>
              <w:end w:w="120" w:type="dxa"/>
            </w:tcMar>
            <w:vAlign w:val="center"/>
            <w:shd w:fill="F4F6F9"/>
          </w:tcPr>
          <w:p>
            <w:pPr>
              <w:pStyle w:val="TableText"/>
              <w:jc w:val="left"/>
            </w:pPr>
            <w:r>
              <w:rPr>
                <w:rFonts w:ascii="Calibri" w:hAnsi="Calibri" w:eastAsia="Calibri"/>
                <w:b w:val="0"/>
                <w:color w:val="1F2933"/>
                <w:sz w:val="17"/>
              </w:rPr>
              <w:t>Product team</w:t>
            </w:r>
          </w:p>
        </w:tc>
        <w:tc>
          <w:tcPr>
            <w:tcW w:type="dxa" w:w="2550"/>
            <w:tcMar>
              <w:top w:w="90" w:type="dxa"/>
              <w:start w:w="120" w:type="dxa"/>
              <w:bottom w:w="90" w:type="dxa"/>
              <w:end w:w="120" w:type="dxa"/>
            </w:tcMar>
            <w:vAlign w:val="center"/>
            <w:shd w:fill="F4F6F9"/>
          </w:tcPr>
          <w:p>
            <w:pPr>
              <w:pStyle w:val="TableText"/>
              <w:jc w:val="left"/>
            </w:pPr>
            <w:r>
              <w:rPr>
                <w:rFonts w:ascii="Calibri" w:hAnsi="Calibri" w:eastAsia="Calibri"/>
                <w:b w:val="0"/>
                <w:color w:val="1F2933"/>
                <w:sz w:val="17"/>
              </w:rPr>
              <w:t>Idempotent queued exchange</w:t>
            </w:r>
          </w:p>
        </w:tc>
        <w:tc>
          <w:tcPr>
            <w:tcW w:type="dxa" w:w="2360"/>
            <w:tcMar>
              <w:top w:w="90" w:type="dxa"/>
              <w:start w:w="120" w:type="dxa"/>
              <w:bottom w:w="90" w:type="dxa"/>
              <w:end w:w="120" w:type="dxa"/>
            </w:tcMar>
            <w:vAlign w:val="center"/>
            <w:shd w:fill="F4F6F9"/>
          </w:tcPr>
          <w:p>
            <w:pPr>
              <w:pStyle w:val="TableText"/>
              <w:jc w:val="left"/>
            </w:pPr>
            <w:r>
              <w:rPr>
                <w:rFonts w:ascii="Calibri" w:hAnsi="Calibri" w:eastAsia="Calibri"/>
                <w:b w:val="0"/>
                <w:color w:val="1F2933"/>
                <w:sz w:val="17"/>
              </w:rPr>
              <w:t>Offline 30-day replay with no duplication</w:t>
            </w:r>
          </w:p>
        </w:tc>
      </w:tr>
      <w:tr>
        <w:trPr>
          <w:cantSplit w:val="true"/>
        </w:trPr>
        <w:tc>
          <w:tcPr>
            <w:tcW w:type="dxa" w:w="850"/>
            <w:tcMar>
              <w:top w:w="90" w:type="dxa"/>
              <w:start w:w="120" w:type="dxa"/>
              <w:bottom w:w="90" w:type="dxa"/>
              <w:end w:w="120" w:type="dxa"/>
            </w:tcMar>
            <w:vAlign w:val="center"/>
          </w:tcPr>
          <w:p>
            <w:pPr>
              <w:pStyle w:val="TableText"/>
              <w:jc w:val="left"/>
            </w:pPr>
            <w:r>
              <w:rPr>
                <w:rFonts w:ascii="Calibri" w:hAnsi="Calibri" w:eastAsia="Calibri"/>
                <w:b w:val="0"/>
                <w:color w:val="1F2933"/>
                <w:sz w:val="17"/>
              </w:rPr>
              <w:t>EDGE-05</w:t>
            </w:r>
          </w:p>
        </w:tc>
        <w:tc>
          <w:tcPr>
            <w:tcW w:type="dxa" w:w="2150"/>
            <w:tcMar>
              <w:top w:w="90" w:type="dxa"/>
              <w:start w:w="120" w:type="dxa"/>
              <w:bottom w:w="90" w:type="dxa"/>
              <w:end w:w="120" w:type="dxa"/>
            </w:tcMar>
            <w:vAlign w:val="center"/>
          </w:tcPr>
          <w:p>
            <w:pPr>
              <w:pStyle w:val="TableText"/>
              <w:jc w:val="left"/>
            </w:pPr>
            <w:r>
              <w:rPr>
                <w:rFonts w:ascii="Calibri" w:hAnsi="Calibri" w:eastAsia="Calibri"/>
                <w:b w:val="0"/>
                <w:color w:val="1F2933"/>
                <w:sz w:val="17"/>
              </w:rPr>
              <w:t>Remote device health</w:t>
            </w:r>
          </w:p>
        </w:tc>
        <w:tc>
          <w:tcPr>
            <w:tcW w:type="dxa" w:w="1450"/>
            <w:tcMar>
              <w:top w:w="90" w:type="dxa"/>
              <w:start w:w="120" w:type="dxa"/>
              <w:bottom w:w="90" w:type="dxa"/>
              <w:end w:w="120" w:type="dxa"/>
            </w:tcMar>
            <w:vAlign w:val="center"/>
          </w:tcPr>
          <w:p>
            <w:pPr>
              <w:pStyle w:val="TableText"/>
              <w:jc w:val="left"/>
            </w:pPr>
            <w:r>
              <w:rPr>
                <w:rFonts w:ascii="Calibri" w:hAnsi="Calibri" w:eastAsia="Calibri"/>
                <w:b w:val="0"/>
                <w:color w:val="1F2933"/>
                <w:sz w:val="17"/>
              </w:rPr>
              <w:t>Platform/SRE</w:t>
            </w:r>
          </w:p>
        </w:tc>
        <w:tc>
          <w:tcPr>
            <w:tcW w:type="dxa" w:w="2550"/>
            <w:tcMar>
              <w:top w:w="90" w:type="dxa"/>
              <w:start w:w="120" w:type="dxa"/>
              <w:bottom w:w="90" w:type="dxa"/>
              <w:end w:w="120" w:type="dxa"/>
            </w:tcMar>
            <w:vAlign w:val="center"/>
          </w:tcPr>
          <w:p>
            <w:pPr>
              <w:pStyle w:val="TableText"/>
              <w:jc w:val="left"/>
            </w:pPr>
            <w:r>
              <w:rPr>
                <w:rFonts w:ascii="Calibri" w:hAnsi="Calibri" w:eastAsia="Calibri"/>
                <w:b w:val="0"/>
                <w:color w:val="1F2933"/>
                <w:sz w:val="17"/>
              </w:rPr>
              <w:t>Version/sync telemetry</w:t>
            </w:r>
          </w:p>
        </w:tc>
        <w:tc>
          <w:tcPr>
            <w:tcW w:type="dxa" w:w="2360"/>
            <w:tcMar>
              <w:top w:w="90" w:type="dxa"/>
              <w:start w:w="120" w:type="dxa"/>
              <w:bottom w:w="90" w:type="dxa"/>
              <w:end w:w="120" w:type="dxa"/>
            </w:tcMar>
            <w:vAlign w:val="center"/>
          </w:tcPr>
          <w:p>
            <w:pPr>
              <w:pStyle w:val="TableText"/>
              <w:jc w:val="left"/>
            </w:pPr>
            <w:r>
              <w:rPr>
                <w:rFonts w:ascii="Calibri" w:hAnsi="Calibri" w:eastAsia="Calibri"/>
                <w:b w:val="0"/>
                <w:color w:val="1F2933"/>
                <w:sz w:val="17"/>
              </w:rPr>
              <w:t>Fleet compliance dashboard</w:t>
            </w:r>
          </w:p>
        </w:tc>
      </w:tr>
      <w:tr>
        <w:trPr>
          <w:cantSplit w:val="true"/>
        </w:trPr>
        <w:tc>
          <w:tcPr>
            <w:tcW w:type="dxa" w:w="850"/>
            <w:tcMar>
              <w:top w:w="90" w:type="dxa"/>
              <w:start w:w="120" w:type="dxa"/>
              <w:bottom w:w="90" w:type="dxa"/>
              <w:end w:w="120" w:type="dxa"/>
            </w:tcMar>
            <w:vAlign w:val="center"/>
            <w:shd w:fill="F4F6F9"/>
          </w:tcPr>
          <w:p>
            <w:pPr>
              <w:pStyle w:val="TableText"/>
              <w:jc w:val="left"/>
            </w:pPr>
            <w:r>
              <w:rPr>
                <w:rFonts w:ascii="Calibri" w:hAnsi="Calibri" w:eastAsia="Calibri"/>
                <w:b w:val="0"/>
                <w:color w:val="1F2933"/>
                <w:sz w:val="17"/>
              </w:rPr>
              <w:t>HLAB-01</w:t>
            </w:r>
          </w:p>
        </w:tc>
        <w:tc>
          <w:tcPr>
            <w:tcW w:type="dxa" w:w="2150"/>
            <w:tcMar>
              <w:top w:w="90" w:type="dxa"/>
              <w:start w:w="120" w:type="dxa"/>
              <w:bottom w:w="90" w:type="dxa"/>
              <w:end w:w="120" w:type="dxa"/>
            </w:tcMar>
            <w:vAlign w:val="center"/>
            <w:shd w:fill="F4F6F9"/>
          </w:tcPr>
          <w:p>
            <w:pPr>
              <w:pStyle w:val="TableText"/>
              <w:jc w:val="left"/>
            </w:pPr>
            <w:r>
              <w:rPr>
                <w:rFonts w:ascii="Calibri" w:hAnsi="Calibri" w:eastAsia="Calibri"/>
                <w:b w:val="0"/>
                <w:color w:val="1F2933"/>
                <w:sz w:val="17"/>
              </w:rPr>
              <w:t>Human lab minimum dataset</w:t>
            </w:r>
          </w:p>
        </w:tc>
        <w:tc>
          <w:tcPr>
            <w:tcW w:type="dxa" w:w="1450"/>
            <w:tcMar>
              <w:top w:w="90" w:type="dxa"/>
              <w:start w:w="120" w:type="dxa"/>
              <w:bottom w:w="90" w:type="dxa"/>
              <w:end w:w="120" w:type="dxa"/>
            </w:tcMar>
            <w:vAlign w:val="center"/>
            <w:shd w:fill="F4F6F9"/>
          </w:tcPr>
          <w:p>
            <w:pPr>
              <w:pStyle w:val="TableText"/>
              <w:jc w:val="left"/>
            </w:pPr>
            <w:r>
              <w:rPr>
                <w:rFonts w:ascii="Calibri" w:hAnsi="Calibri" w:eastAsia="Calibri"/>
                <w:b w:val="0"/>
                <w:color w:val="1F2933"/>
                <w:sz w:val="17"/>
              </w:rPr>
              <w:t>Lab TWG</w:t>
            </w:r>
          </w:p>
        </w:tc>
        <w:tc>
          <w:tcPr>
            <w:tcW w:type="dxa" w:w="2550"/>
            <w:tcMar>
              <w:top w:w="90" w:type="dxa"/>
              <w:start w:w="120" w:type="dxa"/>
              <w:bottom w:w="90" w:type="dxa"/>
              <w:end w:w="120" w:type="dxa"/>
            </w:tcMar>
            <w:vAlign w:val="center"/>
            <w:shd w:fill="F4F6F9"/>
          </w:tcPr>
          <w:p>
            <w:pPr>
              <w:pStyle w:val="TableText"/>
              <w:jc w:val="left"/>
            </w:pPr>
            <w:r>
              <w:rPr>
                <w:rFonts w:ascii="Calibri" w:hAnsi="Calibri" w:eastAsia="Calibri"/>
                <w:b w:val="0"/>
                <w:color w:val="1F2933"/>
                <w:sz w:val="17"/>
              </w:rPr>
              <w:t>Forms, adapters and validation</w:t>
            </w:r>
          </w:p>
        </w:tc>
        <w:tc>
          <w:tcPr>
            <w:tcW w:type="dxa" w:w="2360"/>
            <w:tcMar>
              <w:top w:w="90" w:type="dxa"/>
              <w:start w:w="120" w:type="dxa"/>
              <w:bottom w:w="90" w:type="dxa"/>
              <w:end w:w="120" w:type="dxa"/>
            </w:tcMar>
            <w:vAlign w:val="center"/>
            <w:shd w:fill="F4F6F9"/>
          </w:tcPr>
          <w:p>
            <w:pPr>
              <w:pStyle w:val="TableText"/>
              <w:jc w:val="left"/>
            </w:pPr>
            <w:r>
              <w:rPr>
                <w:rFonts w:ascii="Calibri" w:hAnsi="Calibri" w:eastAsia="Calibri"/>
                <w:b w:val="0"/>
                <w:color w:val="1F2933"/>
                <w:sz w:val="17"/>
              </w:rPr>
              <w:t>Golden dataset concordance</w:t>
            </w:r>
          </w:p>
        </w:tc>
      </w:tr>
      <w:tr>
        <w:trPr>
          <w:cantSplit w:val="true"/>
        </w:trPr>
        <w:tc>
          <w:tcPr>
            <w:tcW w:type="dxa" w:w="850"/>
            <w:tcMar>
              <w:top w:w="90" w:type="dxa"/>
              <w:start w:w="120" w:type="dxa"/>
              <w:bottom w:w="90" w:type="dxa"/>
              <w:end w:w="120" w:type="dxa"/>
            </w:tcMar>
            <w:vAlign w:val="center"/>
          </w:tcPr>
          <w:p>
            <w:pPr>
              <w:pStyle w:val="TableText"/>
              <w:jc w:val="left"/>
            </w:pPr>
            <w:r>
              <w:rPr>
                <w:rFonts w:ascii="Calibri" w:hAnsi="Calibri" w:eastAsia="Calibri"/>
                <w:b w:val="0"/>
                <w:color w:val="1F2933"/>
                <w:sz w:val="17"/>
              </w:rPr>
              <w:t>HLAB-02</w:t>
            </w:r>
          </w:p>
        </w:tc>
        <w:tc>
          <w:tcPr>
            <w:tcW w:type="dxa" w:w="2150"/>
            <w:tcMar>
              <w:top w:w="90" w:type="dxa"/>
              <w:start w:w="120" w:type="dxa"/>
              <w:bottom w:w="90" w:type="dxa"/>
              <w:end w:w="120" w:type="dxa"/>
            </w:tcMar>
            <w:vAlign w:val="center"/>
          </w:tcPr>
          <w:p>
            <w:pPr>
              <w:pStyle w:val="TableText"/>
              <w:jc w:val="left"/>
            </w:pPr>
            <w:r>
              <w:rPr>
                <w:rFonts w:ascii="Calibri" w:hAnsi="Calibri" w:eastAsia="Calibri"/>
                <w:b w:val="0"/>
                <w:color w:val="1F2933"/>
                <w:sz w:val="17"/>
              </w:rPr>
              <w:t>Local antibiogram and alerts</w:t>
            </w:r>
          </w:p>
        </w:tc>
        <w:tc>
          <w:tcPr>
            <w:tcW w:type="dxa" w:w="1450"/>
            <w:tcMar>
              <w:top w:w="90" w:type="dxa"/>
              <w:start w:w="120" w:type="dxa"/>
              <w:bottom w:w="90" w:type="dxa"/>
              <w:end w:w="120" w:type="dxa"/>
            </w:tcMar>
            <w:vAlign w:val="center"/>
          </w:tcPr>
          <w:p>
            <w:pPr>
              <w:pStyle w:val="TableText"/>
              <w:jc w:val="left"/>
            </w:pPr>
            <w:r>
              <w:rPr>
                <w:rFonts w:ascii="Calibri" w:hAnsi="Calibri" w:eastAsia="Calibri"/>
                <w:b w:val="0"/>
                <w:color w:val="1F2933"/>
                <w:sz w:val="17"/>
              </w:rPr>
              <w:t>Lab TWG</w:t>
            </w:r>
          </w:p>
        </w:tc>
        <w:tc>
          <w:tcPr>
            <w:tcW w:type="dxa" w:w="2550"/>
            <w:tcMar>
              <w:top w:w="90" w:type="dxa"/>
              <w:start w:w="120" w:type="dxa"/>
              <w:bottom w:w="90" w:type="dxa"/>
              <w:end w:w="120" w:type="dxa"/>
            </w:tcMar>
            <w:vAlign w:val="center"/>
          </w:tcPr>
          <w:p>
            <w:pPr>
              <w:pStyle w:val="TableText"/>
              <w:jc w:val="left"/>
            </w:pPr>
            <w:r>
              <w:rPr>
                <w:rFonts w:ascii="Calibri" w:hAnsi="Calibri" w:eastAsia="Calibri"/>
                <w:b w:val="0"/>
                <w:color w:val="1F2933"/>
                <w:sz w:val="17"/>
              </w:rPr>
              <w:t>Versioned metrics and rules</w:t>
            </w:r>
          </w:p>
        </w:tc>
        <w:tc>
          <w:tcPr>
            <w:tcW w:type="dxa" w:w="2360"/>
            <w:tcMar>
              <w:top w:w="90" w:type="dxa"/>
              <w:start w:w="120" w:type="dxa"/>
              <w:bottom w:w="90" w:type="dxa"/>
              <w:end w:w="120" w:type="dxa"/>
            </w:tcMar>
            <w:vAlign w:val="center"/>
          </w:tcPr>
          <w:p>
            <w:pPr>
              <w:pStyle w:val="TableText"/>
              <w:jc w:val="left"/>
            </w:pPr>
            <w:r>
              <w:rPr>
                <w:rFonts w:ascii="Calibri" w:hAnsi="Calibri" w:eastAsia="Calibri"/>
                <w:b w:val="0"/>
                <w:color w:val="1F2933"/>
                <w:sz w:val="17"/>
              </w:rPr>
              <w:t>Reference calculation match</w:t>
            </w:r>
          </w:p>
        </w:tc>
      </w:tr>
      <w:tr>
        <w:trPr>
          <w:cantSplit w:val="true"/>
        </w:trPr>
        <w:tc>
          <w:tcPr>
            <w:tcW w:type="dxa" w:w="850"/>
            <w:tcMar>
              <w:top w:w="90" w:type="dxa"/>
              <w:start w:w="120" w:type="dxa"/>
              <w:bottom w:w="90" w:type="dxa"/>
              <w:end w:w="120" w:type="dxa"/>
            </w:tcMar>
            <w:vAlign w:val="center"/>
            <w:shd w:fill="F4F6F9"/>
          </w:tcPr>
          <w:p>
            <w:pPr>
              <w:pStyle w:val="TableText"/>
              <w:jc w:val="left"/>
            </w:pPr>
            <w:r>
              <w:rPr>
                <w:rFonts w:ascii="Calibri" w:hAnsi="Calibri" w:eastAsia="Calibri"/>
                <w:b w:val="0"/>
                <w:color w:val="1F2933"/>
                <w:sz w:val="17"/>
              </w:rPr>
              <w:t>HLAB-03</w:t>
            </w:r>
          </w:p>
        </w:tc>
        <w:tc>
          <w:tcPr>
            <w:tcW w:type="dxa" w:w="2150"/>
            <w:tcMar>
              <w:top w:w="90" w:type="dxa"/>
              <w:start w:w="120" w:type="dxa"/>
              <w:bottom w:w="90" w:type="dxa"/>
              <w:end w:w="120" w:type="dxa"/>
            </w:tcMar>
            <w:vAlign w:val="center"/>
            <w:shd w:fill="F4F6F9"/>
          </w:tcPr>
          <w:p>
            <w:pPr>
              <w:pStyle w:val="TableText"/>
              <w:jc w:val="left"/>
            </w:pPr>
            <w:r>
              <w:rPr>
                <w:rFonts w:ascii="Calibri" w:hAnsi="Calibri" w:eastAsia="Calibri"/>
                <w:b w:val="0"/>
                <w:color w:val="1F2933"/>
                <w:sz w:val="17"/>
              </w:rPr>
              <w:t>EQA/quality module</w:t>
            </w:r>
          </w:p>
        </w:tc>
        <w:tc>
          <w:tcPr>
            <w:tcW w:type="dxa" w:w="1450"/>
            <w:tcMar>
              <w:top w:w="90" w:type="dxa"/>
              <w:start w:w="120" w:type="dxa"/>
              <w:bottom w:w="90" w:type="dxa"/>
              <w:end w:w="120" w:type="dxa"/>
            </w:tcMar>
            <w:vAlign w:val="center"/>
            <w:shd w:fill="F4F6F9"/>
          </w:tcPr>
          <w:p>
            <w:pPr>
              <w:pStyle w:val="TableText"/>
              <w:jc w:val="left"/>
            </w:pPr>
            <w:r>
              <w:rPr>
                <w:rFonts w:ascii="Calibri" w:hAnsi="Calibri" w:eastAsia="Calibri"/>
                <w:b w:val="0"/>
                <w:color w:val="1F2933"/>
                <w:sz w:val="17"/>
              </w:rPr>
              <w:t>NCDC/ICMR/NABL partners</w:t>
            </w:r>
          </w:p>
        </w:tc>
        <w:tc>
          <w:tcPr>
            <w:tcW w:type="dxa" w:w="2550"/>
            <w:tcMar>
              <w:top w:w="90" w:type="dxa"/>
              <w:start w:w="120" w:type="dxa"/>
              <w:bottom w:w="90" w:type="dxa"/>
              <w:end w:w="120" w:type="dxa"/>
            </w:tcMar>
            <w:vAlign w:val="center"/>
            <w:shd w:fill="F4F6F9"/>
          </w:tcPr>
          <w:p>
            <w:pPr>
              <w:pStyle w:val="TableText"/>
              <w:jc w:val="left"/>
            </w:pPr>
            <w:r>
              <w:rPr>
                <w:rFonts w:ascii="Calibri" w:hAnsi="Calibri" w:eastAsia="Calibri"/>
                <w:b w:val="0"/>
                <w:color w:val="1F2933"/>
                <w:sz w:val="17"/>
              </w:rPr>
              <w:t>QC/EQA and corrective action</w:t>
            </w:r>
          </w:p>
        </w:tc>
        <w:tc>
          <w:tcPr>
            <w:tcW w:type="dxa" w:w="2360"/>
            <w:tcMar>
              <w:top w:w="90" w:type="dxa"/>
              <w:start w:w="120" w:type="dxa"/>
              <w:bottom w:w="90" w:type="dxa"/>
              <w:end w:w="120" w:type="dxa"/>
            </w:tcMar>
            <w:vAlign w:val="center"/>
            <w:shd w:fill="F4F6F9"/>
          </w:tcPr>
          <w:p>
            <w:pPr>
              <w:pStyle w:val="TableText"/>
              <w:jc w:val="left"/>
            </w:pPr>
            <w:r>
              <w:rPr>
                <w:rFonts w:ascii="Calibri" w:hAnsi="Calibri" w:eastAsia="Calibri"/>
                <w:b w:val="0"/>
                <w:color w:val="1F2933"/>
                <w:sz w:val="17"/>
              </w:rPr>
              <w:t>Pilot lab sign-off</w:t>
            </w:r>
          </w:p>
        </w:tc>
      </w:tr>
      <w:tr>
        <w:trPr>
          <w:cantSplit w:val="true"/>
        </w:trPr>
        <w:tc>
          <w:tcPr>
            <w:tcW w:type="dxa" w:w="850"/>
            <w:tcMar>
              <w:top w:w="90" w:type="dxa"/>
              <w:start w:w="120" w:type="dxa"/>
              <w:bottom w:w="90" w:type="dxa"/>
              <w:end w:w="120" w:type="dxa"/>
            </w:tcMar>
            <w:vAlign w:val="center"/>
          </w:tcPr>
          <w:p>
            <w:pPr>
              <w:pStyle w:val="TableText"/>
              <w:jc w:val="left"/>
            </w:pPr>
            <w:r>
              <w:rPr>
                <w:rFonts w:ascii="Calibri" w:hAnsi="Calibri" w:eastAsia="Calibri"/>
                <w:b w:val="0"/>
                <w:color w:val="1F2933"/>
                <w:sz w:val="17"/>
              </w:rPr>
              <w:t>AMS-01</w:t>
            </w:r>
          </w:p>
        </w:tc>
        <w:tc>
          <w:tcPr>
            <w:tcW w:type="dxa" w:w="2150"/>
            <w:tcMar>
              <w:top w:w="90" w:type="dxa"/>
              <w:start w:w="120" w:type="dxa"/>
              <w:bottom w:w="90" w:type="dxa"/>
              <w:end w:w="120" w:type="dxa"/>
            </w:tcMar>
            <w:vAlign w:val="center"/>
          </w:tcPr>
          <w:p>
            <w:pPr>
              <w:pStyle w:val="TableText"/>
              <w:jc w:val="left"/>
            </w:pPr>
            <w:r>
              <w:rPr>
                <w:rFonts w:ascii="Calibri" w:hAnsi="Calibri" w:eastAsia="Calibri"/>
                <w:b w:val="0"/>
                <w:color w:val="1F2933"/>
                <w:sz w:val="17"/>
              </w:rPr>
              <w:t>AMC ingestion</w:t>
            </w:r>
          </w:p>
        </w:tc>
        <w:tc>
          <w:tcPr>
            <w:tcW w:type="dxa" w:w="1450"/>
            <w:tcMar>
              <w:top w:w="90" w:type="dxa"/>
              <w:start w:w="120" w:type="dxa"/>
              <w:bottom w:w="90" w:type="dxa"/>
              <w:end w:w="120" w:type="dxa"/>
            </w:tcMar>
            <w:vAlign w:val="center"/>
          </w:tcPr>
          <w:p>
            <w:pPr>
              <w:pStyle w:val="TableText"/>
              <w:jc w:val="left"/>
            </w:pPr>
            <w:r>
              <w:rPr>
                <w:rFonts w:ascii="Calibri" w:hAnsi="Calibri" w:eastAsia="Calibri"/>
                <w:b w:val="0"/>
                <w:color w:val="1F2933"/>
                <w:sz w:val="17"/>
              </w:rPr>
              <w:t>AMS TWG/CDSCO/DoP</w:t>
            </w:r>
          </w:p>
        </w:tc>
        <w:tc>
          <w:tcPr>
            <w:tcW w:type="dxa" w:w="2550"/>
            <w:tcMar>
              <w:top w:w="90" w:type="dxa"/>
              <w:start w:w="120" w:type="dxa"/>
              <w:bottom w:w="90" w:type="dxa"/>
              <w:end w:w="120" w:type="dxa"/>
            </w:tcMar>
            <w:vAlign w:val="center"/>
          </w:tcPr>
          <w:p>
            <w:pPr>
              <w:pStyle w:val="TableText"/>
              <w:jc w:val="left"/>
            </w:pPr>
            <w:r>
              <w:rPr>
                <w:rFonts w:ascii="Calibri" w:hAnsi="Calibri" w:eastAsia="Calibri"/>
                <w:b w:val="0"/>
                <w:color w:val="1F2933"/>
                <w:sz w:val="17"/>
              </w:rPr>
              <w:t>Product/sales/facility consumption model</w:t>
            </w:r>
          </w:p>
        </w:tc>
        <w:tc>
          <w:tcPr>
            <w:tcW w:type="dxa" w:w="2360"/>
            <w:tcMar>
              <w:top w:w="90" w:type="dxa"/>
              <w:start w:w="120" w:type="dxa"/>
              <w:bottom w:w="90" w:type="dxa"/>
              <w:end w:w="120" w:type="dxa"/>
            </w:tcMar>
            <w:vAlign w:val="center"/>
          </w:tcPr>
          <w:p>
            <w:pPr>
              <w:pStyle w:val="TableText"/>
              <w:jc w:val="left"/>
            </w:pPr>
            <w:r>
              <w:rPr>
                <w:rFonts w:ascii="Calibri" w:hAnsi="Calibri" w:eastAsia="Calibri"/>
                <w:b w:val="0"/>
                <w:color w:val="1F2933"/>
                <w:sz w:val="17"/>
              </w:rPr>
              <w:t>ATC/DDD reproducibility</w:t>
            </w:r>
          </w:p>
        </w:tc>
      </w:tr>
      <w:tr>
        <w:trPr>
          <w:cantSplit w:val="true"/>
        </w:trPr>
        <w:tc>
          <w:tcPr>
            <w:tcW w:type="dxa" w:w="850"/>
            <w:tcMar>
              <w:top w:w="90" w:type="dxa"/>
              <w:start w:w="120" w:type="dxa"/>
              <w:bottom w:w="90" w:type="dxa"/>
              <w:end w:w="120" w:type="dxa"/>
            </w:tcMar>
            <w:vAlign w:val="center"/>
            <w:shd w:fill="F4F6F9"/>
          </w:tcPr>
          <w:p>
            <w:pPr>
              <w:pStyle w:val="TableText"/>
              <w:jc w:val="left"/>
            </w:pPr>
            <w:r>
              <w:rPr>
                <w:rFonts w:ascii="Calibri" w:hAnsi="Calibri" w:eastAsia="Calibri"/>
                <w:b w:val="0"/>
                <w:color w:val="1F2933"/>
                <w:sz w:val="17"/>
              </w:rPr>
              <w:t>AMS-02</w:t>
            </w:r>
          </w:p>
        </w:tc>
        <w:tc>
          <w:tcPr>
            <w:tcW w:type="dxa" w:w="2150"/>
            <w:tcMar>
              <w:top w:w="90" w:type="dxa"/>
              <w:start w:w="120" w:type="dxa"/>
              <w:bottom w:w="90" w:type="dxa"/>
              <w:end w:w="120" w:type="dxa"/>
            </w:tcMar>
            <w:vAlign w:val="center"/>
            <w:shd w:fill="F4F6F9"/>
          </w:tcPr>
          <w:p>
            <w:pPr>
              <w:pStyle w:val="TableText"/>
              <w:jc w:val="left"/>
            </w:pPr>
            <w:r>
              <w:rPr>
                <w:rFonts w:ascii="Calibri" w:hAnsi="Calibri" w:eastAsia="Calibri"/>
                <w:b w:val="0"/>
                <w:color w:val="1F2933"/>
                <w:sz w:val="17"/>
              </w:rPr>
              <w:t>Facility AMU and stewardship</w:t>
            </w:r>
          </w:p>
        </w:tc>
        <w:tc>
          <w:tcPr>
            <w:tcW w:type="dxa" w:w="1450"/>
            <w:tcMar>
              <w:top w:w="90" w:type="dxa"/>
              <w:start w:w="120" w:type="dxa"/>
              <w:bottom w:w="90" w:type="dxa"/>
              <w:end w:w="120" w:type="dxa"/>
            </w:tcMar>
            <w:vAlign w:val="center"/>
            <w:shd w:fill="F4F6F9"/>
          </w:tcPr>
          <w:p>
            <w:pPr>
              <w:pStyle w:val="TableText"/>
              <w:jc w:val="left"/>
            </w:pPr>
            <w:r>
              <w:rPr>
                <w:rFonts w:ascii="Calibri" w:hAnsi="Calibri" w:eastAsia="Calibri"/>
                <w:b w:val="0"/>
                <w:color w:val="1F2933"/>
                <w:sz w:val="17"/>
              </w:rPr>
              <w:t>AMS TWG</w:t>
            </w:r>
          </w:p>
        </w:tc>
        <w:tc>
          <w:tcPr>
            <w:tcW w:type="dxa" w:w="2550"/>
            <w:tcMar>
              <w:top w:w="90" w:type="dxa"/>
              <w:start w:w="120" w:type="dxa"/>
              <w:bottom w:w="90" w:type="dxa"/>
              <w:end w:w="120" w:type="dxa"/>
            </w:tcMar>
            <w:vAlign w:val="center"/>
            <w:shd w:fill="F4F6F9"/>
          </w:tcPr>
          <w:p>
            <w:pPr>
              <w:pStyle w:val="TableText"/>
              <w:jc w:val="left"/>
            </w:pPr>
            <w:r>
              <w:rPr>
                <w:rFonts w:ascii="Calibri" w:hAnsi="Calibri" w:eastAsia="Calibri"/>
                <w:b w:val="0"/>
                <w:color w:val="1F2933"/>
                <w:sz w:val="17"/>
              </w:rPr>
              <w:t>DOT/AWaRe/audit workflow</w:t>
            </w:r>
          </w:p>
        </w:tc>
        <w:tc>
          <w:tcPr>
            <w:tcW w:type="dxa" w:w="2360"/>
            <w:tcMar>
              <w:top w:w="90" w:type="dxa"/>
              <w:start w:w="120" w:type="dxa"/>
              <w:bottom w:w="90" w:type="dxa"/>
              <w:end w:w="120" w:type="dxa"/>
            </w:tcMar>
            <w:vAlign w:val="center"/>
            <w:shd w:fill="F4F6F9"/>
          </w:tcPr>
          <w:p>
            <w:pPr>
              <w:pStyle w:val="TableText"/>
              <w:jc w:val="left"/>
            </w:pPr>
            <w:r>
              <w:rPr>
                <w:rFonts w:ascii="Calibri" w:hAnsi="Calibri" w:eastAsia="Calibri"/>
                <w:b w:val="0"/>
                <w:color w:val="1F2933"/>
                <w:sz w:val="17"/>
              </w:rPr>
              <w:t>Point-prevalence and electronic validation</w:t>
            </w:r>
          </w:p>
        </w:tc>
      </w:tr>
      <w:tr>
        <w:trPr>
          <w:cantSplit w:val="true"/>
        </w:trPr>
        <w:tc>
          <w:tcPr>
            <w:tcW w:type="dxa" w:w="850"/>
            <w:tcMar>
              <w:top w:w="90" w:type="dxa"/>
              <w:start w:w="120" w:type="dxa"/>
              <w:bottom w:w="90" w:type="dxa"/>
              <w:end w:w="120" w:type="dxa"/>
            </w:tcMar>
            <w:vAlign w:val="center"/>
          </w:tcPr>
          <w:p>
            <w:pPr>
              <w:pStyle w:val="TableText"/>
              <w:jc w:val="left"/>
            </w:pPr>
            <w:r>
              <w:rPr>
                <w:rFonts w:ascii="Calibri" w:hAnsi="Calibri" w:eastAsia="Calibri"/>
                <w:b w:val="0"/>
                <w:color w:val="1F2933"/>
                <w:sz w:val="17"/>
              </w:rPr>
              <w:t>IPC-01</w:t>
            </w:r>
          </w:p>
        </w:tc>
        <w:tc>
          <w:tcPr>
            <w:tcW w:type="dxa" w:w="2150"/>
            <w:tcMar>
              <w:top w:w="90" w:type="dxa"/>
              <w:start w:w="120" w:type="dxa"/>
              <w:bottom w:w="90" w:type="dxa"/>
              <w:end w:w="120" w:type="dxa"/>
            </w:tcMar>
            <w:vAlign w:val="center"/>
          </w:tcPr>
          <w:p>
            <w:pPr>
              <w:pStyle w:val="TableText"/>
              <w:jc w:val="left"/>
            </w:pPr>
            <w:r>
              <w:rPr>
                <w:rFonts w:ascii="Calibri" w:hAnsi="Calibri" w:eastAsia="Calibri"/>
                <w:b w:val="0"/>
                <w:color w:val="1F2933"/>
                <w:sz w:val="17"/>
              </w:rPr>
              <w:t>IPC/HAI module</w:t>
            </w:r>
          </w:p>
        </w:tc>
        <w:tc>
          <w:tcPr>
            <w:tcW w:type="dxa" w:w="1450"/>
            <w:tcMar>
              <w:top w:w="90" w:type="dxa"/>
              <w:start w:w="120" w:type="dxa"/>
              <w:bottom w:w="90" w:type="dxa"/>
              <w:end w:w="120" w:type="dxa"/>
            </w:tcMar>
            <w:vAlign w:val="center"/>
          </w:tcPr>
          <w:p>
            <w:pPr>
              <w:pStyle w:val="TableText"/>
              <w:jc w:val="left"/>
            </w:pPr>
            <w:r>
              <w:rPr>
                <w:rFonts w:ascii="Calibri" w:hAnsi="Calibri" w:eastAsia="Calibri"/>
                <w:b w:val="0"/>
                <w:color w:val="1F2933"/>
                <w:sz w:val="17"/>
              </w:rPr>
              <w:t>NCDC/IPC TWG</w:t>
            </w:r>
          </w:p>
        </w:tc>
        <w:tc>
          <w:tcPr>
            <w:tcW w:type="dxa" w:w="2550"/>
            <w:tcMar>
              <w:top w:w="90" w:type="dxa"/>
              <w:start w:w="120" w:type="dxa"/>
              <w:bottom w:w="90" w:type="dxa"/>
              <w:end w:w="120" w:type="dxa"/>
            </w:tcMar>
            <w:vAlign w:val="center"/>
          </w:tcPr>
          <w:p>
            <w:pPr>
              <w:pStyle w:val="TableText"/>
              <w:jc w:val="left"/>
            </w:pPr>
            <w:r>
              <w:rPr>
                <w:rFonts w:ascii="Calibri" w:hAnsi="Calibri" w:eastAsia="Calibri"/>
                <w:b w:val="0"/>
                <w:color w:val="1F2933"/>
                <w:sz w:val="17"/>
              </w:rPr>
              <w:t>HAI forms, denominators and actions</w:t>
            </w:r>
          </w:p>
        </w:tc>
        <w:tc>
          <w:tcPr>
            <w:tcW w:type="dxa" w:w="2360"/>
            <w:tcMar>
              <w:top w:w="90" w:type="dxa"/>
              <w:start w:w="120" w:type="dxa"/>
              <w:bottom w:w="90" w:type="dxa"/>
              <w:end w:w="120" w:type="dxa"/>
            </w:tcMar>
            <w:vAlign w:val="center"/>
          </w:tcPr>
          <w:p>
            <w:pPr>
              <w:pStyle w:val="TableText"/>
              <w:jc w:val="left"/>
            </w:pPr>
            <w:r>
              <w:rPr>
                <w:rFonts w:ascii="Calibri" w:hAnsi="Calibri" w:eastAsia="Calibri"/>
                <w:b w:val="0"/>
                <w:color w:val="1F2933"/>
                <w:sz w:val="17"/>
              </w:rPr>
              <w:t>Case/denominator audit concordance</w:t>
            </w:r>
          </w:p>
        </w:tc>
      </w:tr>
      <w:tr>
        <w:trPr>
          <w:cantSplit w:val="true"/>
        </w:trPr>
        <w:tc>
          <w:tcPr>
            <w:tcW w:type="dxa" w:w="850"/>
            <w:tcMar>
              <w:top w:w="90" w:type="dxa"/>
              <w:start w:w="120" w:type="dxa"/>
              <w:bottom w:w="90" w:type="dxa"/>
              <w:end w:w="120" w:type="dxa"/>
            </w:tcMar>
            <w:vAlign w:val="center"/>
            <w:shd w:fill="F4F6F9"/>
          </w:tcPr>
          <w:p>
            <w:pPr>
              <w:pStyle w:val="TableText"/>
              <w:jc w:val="left"/>
            </w:pPr>
            <w:r>
              <w:rPr>
                <w:rFonts w:ascii="Calibri" w:hAnsi="Calibri" w:eastAsia="Calibri"/>
                <w:b w:val="0"/>
                <w:color w:val="1F2933"/>
                <w:sz w:val="17"/>
              </w:rPr>
              <w:t>VET-01</w:t>
            </w:r>
          </w:p>
        </w:tc>
        <w:tc>
          <w:tcPr>
            <w:tcW w:type="dxa" w:w="2150"/>
            <w:tcMar>
              <w:top w:w="90" w:type="dxa"/>
              <w:start w:w="120" w:type="dxa"/>
              <w:bottom w:w="90" w:type="dxa"/>
              <w:end w:w="120" w:type="dxa"/>
            </w:tcMar>
            <w:vAlign w:val="center"/>
            <w:shd w:fill="F4F6F9"/>
          </w:tcPr>
          <w:p>
            <w:pPr>
              <w:pStyle w:val="TableText"/>
              <w:jc w:val="left"/>
            </w:pPr>
            <w:r>
              <w:rPr>
                <w:rFonts w:ascii="Calibri" w:hAnsi="Calibri" w:eastAsia="Calibri"/>
                <w:b w:val="0"/>
                <w:color w:val="1F2933"/>
                <w:sz w:val="17"/>
              </w:rPr>
              <w:t>Veterinary/fisheries minimum dataset</w:t>
            </w:r>
          </w:p>
        </w:tc>
        <w:tc>
          <w:tcPr>
            <w:tcW w:type="dxa" w:w="1450"/>
            <w:tcMar>
              <w:top w:w="90" w:type="dxa"/>
              <w:start w:w="120" w:type="dxa"/>
              <w:bottom w:w="90" w:type="dxa"/>
              <w:end w:w="120" w:type="dxa"/>
            </w:tcMar>
            <w:vAlign w:val="center"/>
            <w:shd w:fill="F4F6F9"/>
          </w:tcPr>
          <w:p>
            <w:pPr>
              <w:pStyle w:val="TableText"/>
              <w:jc w:val="left"/>
            </w:pPr>
            <w:r>
              <w:rPr>
                <w:rFonts w:ascii="Calibri" w:hAnsi="Calibri" w:eastAsia="Calibri"/>
                <w:b w:val="0"/>
                <w:color w:val="1F2933"/>
                <w:sz w:val="17"/>
              </w:rPr>
              <w:t>DAHD/DoF/ICAR</w:t>
            </w:r>
          </w:p>
        </w:tc>
        <w:tc>
          <w:tcPr>
            <w:tcW w:type="dxa" w:w="2550"/>
            <w:tcMar>
              <w:top w:w="90" w:type="dxa"/>
              <w:start w:w="120" w:type="dxa"/>
              <w:bottom w:w="90" w:type="dxa"/>
              <w:end w:w="120" w:type="dxa"/>
            </w:tcMar>
            <w:vAlign w:val="center"/>
            <w:shd w:fill="F4F6F9"/>
          </w:tcPr>
          <w:p>
            <w:pPr>
              <w:pStyle w:val="TableText"/>
              <w:jc w:val="left"/>
            </w:pPr>
            <w:r>
              <w:rPr>
                <w:rFonts w:ascii="Calibri" w:hAnsi="Calibri" w:eastAsia="Calibri"/>
                <w:b w:val="0"/>
                <w:color w:val="1F2933"/>
                <w:sz w:val="17"/>
              </w:rPr>
              <w:t>Host/farm/sample/AMR/AMU model</w:t>
            </w:r>
          </w:p>
        </w:tc>
        <w:tc>
          <w:tcPr>
            <w:tcW w:type="dxa" w:w="2360"/>
            <w:tcMar>
              <w:top w:w="90" w:type="dxa"/>
              <w:start w:w="120" w:type="dxa"/>
              <w:bottom w:w="90" w:type="dxa"/>
              <w:end w:w="120" w:type="dxa"/>
            </w:tcMar>
            <w:vAlign w:val="center"/>
            <w:shd w:fill="F4F6F9"/>
          </w:tcPr>
          <w:p>
            <w:pPr>
              <w:pStyle w:val="TableText"/>
              <w:jc w:val="left"/>
            </w:pPr>
            <w:r>
              <w:rPr>
                <w:rFonts w:ascii="Calibri" w:hAnsi="Calibri" w:eastAsia="Calibri"/>
                <w:b w:val="0"/>
                <w:color w:val="1F2933"/>
                <w:sz w:val="17"/>
              </w:rPr>
              <w:t>Sector pilot approval</w:t>
            </w:r>
          </w:p>
        </w:tc>
      </w:tr>
      <w:tr>
        <w:trPr>
          <w:cantSplit w:val="true"/>
        </w:trPr>
        <w:tc>
          <w:tcPr>
            <w:tcW w:type="dxa" w:w="850"/>
            <w:tcMar>
              <w:top w:w="90" w:type="dxa"/>
              <w:start w:w="120" w:type="dxa"/>
              <w:bottom w:w="90" w:type="dxa"/>
              <w:end w:w="120" w:type="dxa"/>
            </w:tcMar>
            <w:vAlign w:val="center"/>
          </w:tcPr>
          <w:p>
            <w:pPr>
              <w:pStyle w:val="TableText"/>
              <w:jc w:val="left"/>
            </w:pPr>
            <w:r>
              <w:rPr>
                <w:rFonts w:ascii="Calibri" w:hAnsi="Calibri" w:eastAsia="Calibri"/>
                <w:b w:val="0"/>
                <w:color w:val="1F2933"/>
                <w:sz w:val="17"/>
              </w:rPr>
              <w:t>FOOD-01</w:t>
            </w:r>
          </w:p>
        </w:tc>
        <w:tc>
          <w:tcPr>
            <w:tcW w:type="dxa" w:w="2150"/>
            <w:tcMar>
              <w:top w:w="90" w:type="dxa"/>
              <w:start w:w="120" w:type="dxa"/>
              <w:bottom w:w="90" w:type="dxa"/>
              <w:end w:w="120" w:type="dxa"/>
            </w:tcMar>
            <w:vAlign w:val="center"/>
          </w:tcPr>
          <w:p>
            <w:pPr>
              <w:pStyle w:val="TableText"/>
              <w:jc w:val="left"/>
            </w:pPr>
            <w:r>
              <w:rPr>
                <w:rFonts w:ascii="Calibri" w:hAnsi="Calibri" w:eastAsia="Calibri"/>
                <w:b w:val="0"/>
                <w:color w:val="1F2933"/>
                <w:sz w:val="17"/>
              </w:rPr>
              <w:t>Food AMR/residue module</w:t>
            </w:r>
          </w:p>
        </w:tc>
        <w:tc>
          <w:tcPr>
            <w:tcW w:type="dxa" w:w="1450"/>
            <w:tcMar>
              <w:top w:w="90" w:type="dxa"/>
              <w:start w:w="120" w:type="dxa"/>
              <w:bottom w:w="90" w:type="dxa"/>
              <w:end w:w="120" w:type="dxa"/>
            </w:tcMar>
            <w:vAlign w:val="center"/>
          </w:tcPr>
          <w:p>
            <w:pPr>
              <w:pStyle w:val="TableText"/>
              <w:jc w:val="left"/>
            </w:pPr>
            <w:r>
              <w:rPr>
                <w:rFonts w:ascii="Calibri" w:hAnsi="Calibri" w:eastAsia="Calibri"/>
                <w:b w:val="0"/>
                <w:color w:val="1F2933"/>
                <w:sz w:val="17"/>
              </w:rPr>
              <w:t>FSSAI</w:t>
            </w:r>
          </w:p>
        </w:tc>
        <w:tc>
          <w:tcPr>
            <w:tcW w:type="dxa" w:w="2550"/>
            <w:tcMar>
              <w:top w:w="90" w:type="dxa"/>
              <w:start w:w="120" w:type="dxa"/>
              <w:bottom w:w="90" w:type="dxa"/>
              <w:end w:w="120" w:type="dxa"/>
            </w:tcMar>
            <w:vAlign w:val="center"/>
          </w:tcPr>
          <w:p>
            <w:pPr>
              <w:pStyle w:val="TableText"/>
              <w:jc w:val="left"/>
            </w:pPr>
            <w:r>
              <w:rPr>
                <w:rFonts w:ascii="Calibri" w:hAnsi="Calibri" w:eastAsia="Calibri"/>
                <w:b w:val="0"/>
                <w:color w:val="1F2933"/>
                <w:sz w:val="17"/>
              </w:rPr>
              <w:t>Sampling, lab, traceability and action</w:t>
            </w:r>
          </w:p>
        </w:tc>
        <w:tc>
          <w:tcPr>
            <w:tcW w:type="dxa" w:w="2360"/>
            <w:tcMar>
              <w:top w:w="90" w:type="dxa"/>
              <w:start w:w="120" w:type="dxa"/>
              <w:bottom w:w="90" w:type="dxa"/>
              <w:end w:w="120" w:type="dxa"/>
            </w:tcMar>
            <w:vAlign w:val="center"/>
          </w:tcPr>
          <w:p>
            <w:pPr>
              <w:pStyle w:val="TableText"/>
              <w:jc w:val="left"/>
            </w:pPr>
            <w:r>
              <w:rPr>
                <w:rFonts w:ascii="Calibri" w:hAnsi="Calibri" w:eastAsia="Calibri"/>
                <w:b w:val="0"/>
                <w:color w:val="1F2933"/>
                <w:sz w:val="17"/>
              </w:rPr>
              <w:t>Chain-of-custody test</w:t>
            </w:r>
          </w:p>
        </w:tc>
      </w:tr>
      <w:tr>
        <w:trPr>
          <w:cantSplit w:val="true"/>
        </w:trPr>
        <w:tc>
          <w:tcPr>
            <w:tcW w:type="dxa" w:w="850"/>
            <w:tcMar>
              <w:top w:w="90" w:type="dxa"/>
              <w:start w:w="120" w:type="dxa"/>
              <w:bottom w:w="90" w:type="dxa"/>
              <w:end w:w="120" w:type="dxa"/>
            </w:tcMar>
            <w:vAlign w:val="center"/>
            <w:shd w:fill="F4F6F9"/>
          </w:tcPr>
          <w:p>
            <w:pPr>
              <w:pStyle w:val="TableText"/>
              <w:jc w:val="left"/>
            </w:pPr>
            <w:r>
              <w:rPr>
                <w:rFonts w:ascii="Calibri" w:hAnsi="Calibri" w:eastAsia="Calibri"/>
                <w:b w:val="0"/>
                <w:color w:val="1F2933"/>
                <w:sz w:val="17"/>
              </w:rPr>
              <w:t>ENV-01</w:t>
            </w:r>
          </w:p>
        </w:tc>
        <w:tc>
          <w:tcPr>
            <w:tcW w:type="dxa" w:w="2150"/>
            <w:tcMar>
              <w:top w:w="90" w:type="dxa"/>
              <w:start w:w="120" w:type="dxa"/>
              <w:bottom w:w="90" w:type="dxa"/>
              <w:end w:w="120" w:type="dxa"/>
            </w:tcMar>
            <w:vAlign w:val="center"/>
            <w:shd w:fill="F4F6F9"/>
          </w:tcPr>
          <w:p>
            <w:pPr>
              <w:pStyle w:val="TableText"/>
              <w:jc w:val="left"/>
            </w:pPr>
            <w:r>
              <w:rPr>
                <w:rFonts w:ascii="Calibri" w:hAnsi="Calibri" w:eastAsia="Calibri"/>
                <w:b w:val="0"/>
                <w:color w:val="1F2933"/>
                <w:sz w:val="17"/>
              </w:rPr>
              <w:t>Environmental module</w:t>
            </w:r>
          </w:p>
        </w:tc>
        <w:tc>
          <w:tcPr>
            <w:tcW w:type="dxa" w:w="1450"/>
            <w:tcMar>
              <w:top w:w="90" w:type="dxa"/>
              <w:start w:w="120" w:type="dxa"/>
              <w:bottom w:w="90" w:type="dxa"/>
              <w:end w:w="120" w:type="dxa"/>
            </w:tcMar>
            <w:vAlign w:val="center"/>
            <w:shd w:fill="F4F6F9"/>
          </w:tcPr>
          <w:p>
            <w:pPr>
              <w:pStyle w:val="TableText"/>
              <w:jc w:val="left"/>
            </w:pPr>
            <w:r>
              <w:rPr>
                <w:rFonts w:ascii="Calibri" w:hAnsi="Calibri" w:eastAsia="Calibri"/>
                <w:b w:val="0"/>
                <w:color w:val="1F2933"/>
                <w:sz w:val="17"/>
              </w:rPr>
              <w:t>CPCB/SPCB/MoEFCC</w:t>
            </w:r>
          </w:p>
        </w:tc>
        <w:tc>
          <w:tcPr>
            <w:tcW w:type="dxa" w:w="2550"/>
            <w:tcMar>
              <w:top w:w="90" w:type="dxa"/>
              <w:start w:w="120" w:type="dxa"/>
              <w:bottom w:w="90" w:type="dxa"/>
              <w:end w:w="120" w:type="dxa"/>
            </w:tcMar>
            <w:vAlign w:val="center"/>
            <w:shd w:fill="F4F6F9"/>
          </w:tcPr>
          <w:p>
            <w:pPr>
              <w:pStyle w:val="TableText"/>
              <w:jc w:val="left"/>
            </w:pPr>
            <w:r>
              <w:rPr>
                <w:rFonts w:ascii="Calibri" w:hAnsi="Calibri" w:eastAsia="Calibri"/>
                <w:b w:val="0"/>
                <w:color w:val="1F2933"/>
                <w:sz w:val="17"/>
              </w:rPr>
              <w:t>Matrix/site/method/gene/residue model</w:t>
            </w:r>
          </w:p>
        </w:tc>
        <w:tc>
          <w:tcPr>
            <w:tcW w:type="dxa" w:w="2360"/>
            <w:tcMar>
              <w:top w:w="90" w:type="dxa"/>
              <w:start w:w="120" w:type="dxa"/>
              <w:bottom w:w="90" w:type="dxa"/>
              <w:end w:w="120" w:type="dxa"/>
            </w:tcMar>
            <w:vAlign w:val="center"/>
            <w:shd w:fill="F4F6F9"/>
          </w:tcPr>
          <w:p>
            <w:pPr>
              <w:pStyle w:val="TableText"/>
              <w:jc w:val="left"/>
            </w:pPr>
            <w:r>
              <w:rPr>
                <w:rFonts w:ascii="Calibri" w:hAnsi="Calibri" w:eastAsia="Calibri"/>
                <w:b w:val="0"/>
                <w:color w:val="1F2933"/>
                <w:sz w:val="17"/>
              </w:rPr>
              <w:t>Sentinel protocol conformance</w:t>
            </w:r>
          </w:p>
        </w:tc>
      </w:tr>
      <w:tr>
        <w:trPr>
          <w:cantSplit w:val="true"/>
        </w:trPr>
        <w:tc>
          <w:tcPr>
            <w:tcW w:type="dxa" w:w="850"/>
            <w:tcMar>
              <w:top w:w="90" w:type="dxa"/>
              <w:start w:w="120" w:type="dxa"/>
              <w:bottom w:w="90" w:type="dxa"/>
              <w:end w:w="120" w:type="dxa"/>
            </w:tcMar>
            <w:vAlign w:val="center"/>
          </w:tcPr>
          <w:p>
            <w:pPr>
              <w:pStyle w:val="TableText"/>
              <w:jc w:val="left"/>
            </w:pPr>
            <w:r>
              <w:rPr>
                <w:rFonts w:ascii="Calibri" w:hAnsi="Calibri" w:eastAsia="Calibri"/>
                <w:b w:val="0"/>
                <w:color w:val="1F2933"/>
                <w:sz w:val="17"/>
              </w:rPr>
              <w:t>GEN-01</w:t>
            </w:r>
          </w:p>
        </w:tc>
        <w:tc>
          <w:tcPr>
            <w:tcW w:type="dxa" w:w="2150"/>
            <w:tcMar>
              <w:top w:w="90" w:type="dxa"/>
              <w:start w:w="120" w:type="dxa"/>
              <w:bottom w:w="90" w:type="dxa"/>
              <w:end w:w="120" w:type="dxa"/>
            </w:tcMar>
            <w:vAlign w:val="center"/>
          </w:tcPr>
          <w:p>
            <w:pPr>
              <w:pStyle w:val="TableText"/>
              <w:jc w:val="left"/>
            </w:pPr>
            <w:r>
              <w:rPr>
                <w:rFonts w:ascii="Calibri" w:hAnsi="Calibri" w:eastAsia="Calibri"/>
                <w:b w:val="0"/>
                <w:color w:val="1F2933"/>
                <w:sz w:val="17"/>
              </w:rPr>
              <w:t>Reference/genomics workflow</w:t>
            </w:r>
          </w:p>
        </w:tc>
        <w:tc>
          <w:tcPr>
            <w:tcW w:type="dxa" w:w="1450"/>
            <w:tcMar>
              <w:top w:w="90" w:type="dxa"/>
              <w:start w:w="120" w:type="dxa"/>
              <w:bottom w:w="90" w:type="dxa"/>
              <w:end w:w="120" w:type="dxa"/>
            </w:tcMar>
            <w:vAlign w:val="center"/>
          </w:tcPr>
          <w:p>
            <w:pPr>
              <w:pStyle w:val="TableText"/>
              <w:jc w:val="left"/>
            </w:pPr>
            <w:r>
              <w:rPr>
                <w:rFonts w:ascii="Calibri" w:hAnsi="Calibri" w:eastAsia="Calibri"/>
                <w:b w:val="0"/>
                <w:color w:val="1F2933"/>
                <w:sz w:val="17"/>
              </w:rPr>
              <w:t>ICMR/NCDC/CSIR</w:t>
            </w:r>
          </w:p>
        </w:tc>
        <w:tc>
          <w:tcPr>
            <w:tcW w:type="dxa" w:w="2550"/>
            <w:tcMar>
              <w:top w:w="90" w:type="dxa"/>
              <w:start w:w="120" w:type="dxa"/>
              <w:bottom w:w="90" w:type="dxa"/>
              <w:end w:w="120" w:type="dxa"/>
            </w:tcMar>
            <w:vAlign w:val="center"/>
          </w:tcPr>
          <w:p>
            <w:pPr>
              <w:pStyle w:val="TableText"/>
              <w:jc w:val="left"/>
            </w:pPr>
            <w:r>
              <w:rPr>
                <w:rFonts w:ascii="Calibri" w:hAnsi="Calibri" w:eastAsia="Calibri"/>
                <w:b w:val="0"/>
                <w:color w:val="1F2933"/>
                <w:sz w:val="17"/>
              </w:rPr>
              <w:t>Referral-to-cluster data product</w:t>
            </w:r>
          </w:p>
        </w:tc>
        <w:tc>
          <w:tcPr>
            <w:tcW w:type="dxa" w:w="2360"/>
            <w:tcMar>
              <w:top w:w="90" w:type="dxa"/>
              <w:start w:w="120" w:type="dxa"/>
              <w:bottom w:w="90" w:type="dxa"/>
              <w:end w:w="120" w:type="dxa"/>
            </w:tcMar>
            <w:vAlign w:val="center"/>
          </w:tcPr>
          <w:p>
            <w:pPr>
              <w:pStyle w:val="TableText"/>
              <w:jc w:val="left"/>
            </w:pPr>
            <w:r>
              <w:rPr>
                <w:rFonts w:ascii="Calibri" w:hAnsi="Calibri" w:eastAsia="Calibri"/>
                <w:b w:val="0"/>
                <w:color w:val="1F2933"/>
                <w:sz w:val="17"/>
              </w:rPr>
              <w:t>Round-trip sample reconciliation</w:t>
            </w:r>
          </w:p>
        </w:tc>
      </w:tr>
      <w:tr>
        <w:trPr>
          <w:cantSplit w:val="true"/>
        </w:trPr>
        <w:tc>
          <w:tcPr>
            <w:tcW w:type="dxa" w:w="850"/>
            <w:tcMar>
              <w:top w:w="90" w:type="dxa"/>
              <w:start w:w="120" w:type="dxa"/>
              <w:bottom w:w="90" w:type="dxa"/>
              <w:end w:w="120" w:type="dxa"/>
            </w:tcMar>
            <w:vAlign w:val="center"/>
            <w:shd w:fill="F4F6F9"/>
          </w:tcPr>
          <w:p>
            <w:pPr>
              <w:pStyle w:val="TableText"/>
              <w:jc w:val="left"/>
            </w:pPr>
            <w:r>
              <w:rPr>
                <w:rFonts w:ascii="Calibri" w:hAnsi="Calibri" w:eastAsia="Calibri"/>
                <w:b w:val="0"/>
                <w:color w:val="1F2933"/>
                <w:sz w:val="17"/>
              </w:rPr>
              <w:t>SRV-01</w:t>
            </w:r>
          </w:p>
        </w:tc>
        <w:tc>
          <w:tcPr>
            <w:tcW w:type="dxa" w:w="2150"/>
            <w:tcMar>
              <w:top w:w="90" w:type="dxa"/>
              <w:start w:w="120" w:type="dxa"/>
              <w:bottom w:w="90" w:type="dxa"/>
              <w:end w:w="120" w:type="dxa"/>
            </w:tcMar>
            <w:vAlign w:val="center"/>
            <w:shd w:fill="F4F6F9"/>
          </w:tcPr>
          <w:p>
            <w:pPr>
              <w:pStyle w:val="TableText"/>
              <w:jc w:val="left"/>
            </w:pPr>
            <w:r>
              <w:rPr>
                <w:rFonts w:ascii="Calibri" w:hAnsi="Calibri" w:eastAsia="Calibri"/>
                <w:b w:val="0"/>
                <w:color w:val="1F2933"/>
                <w:sz w:val="17"/>
              </w:rPr>
              <w:t>Identity and PKI</w:t>
            </w:r>
          </w:p>
        </w:tc>
        <w:tc>
          <w:tcPr>
            <w:tcW w:type="dxa" w:w="1450"/>
            <w:tcMar>
              <w:top w:w="90" w:type="dxa"/>
              <w:start w:w="120" w:type="dxa"/>
              <w:bottom w:w="90" w:type="dxa"/>
              <w:end w:w="120" w:type="dxa"/>
            </w:tcMar>
            <w:vAlign w:val="center"/>
            <w:shd w:fill="F4F6F9"/>
          </w:tcPr>
          <w:p>
            <w:pPr>
              <w:pStyle w:val="TableText"/>
              <w:jc w:val="left"/>
            </w:pPr>
            <w:r>
              <w:rPr>
                <w:rFonts w:ascii="Calibri" w:hAnsi="Calibri" w:eastAsia="Calibri"/>
                <w:b w:val="0"/>
                <w:color w:val="1F2933"/>
                <w:sz w:val="17"/>
              </w:rPr>
              <w:t>Platform security</w:t>
            </w:r>
          </w:p>
        </w:tc>
        <w:tc>
          <w:tcPr>
            <w:tcW w:type="dxa" w:w="2550"/>
            <w:tcMar>
              <w:top w:w="90" w:type="dxa"/>
              <w:start w:w="120" w:type="dxa"/>
              <w:bottom w:w="90" w:type="dxa"/>
              <w:end w:w="120" w:type="dxa"/>
            </w:tcMar>
            <w:vAlign w:val="center"/>
            <w:shd w:fill="F4F6F9"/>
          </w:tcPr>
          <w:p>
            <w:pPr>
              <w:pStyle w:val="TableText"/>
              <w:jc w:val="left"/>
            </w:pPr>
            <w:r>
              <w:rPr>
                <w:rFonts w:ascii="Calibri" w:hAnsi="Calibri" w:eastAsia="Calibri"/>
                <w:b w:val="0"/>
                <w:color w:val="1F2933"/>
                <w:sz w:val="17"/>
              </w:rPr>
              <w:t>MFA/SSO, service/device certificates</w:t>
            </w:r>
          </w:p>
        </w:tc>
        <w:tc>
          <w:tcPr>
            <w:tcW w:type="dxa" w:w="2360"/>
            <w:tcMar>
              <w:top w:w="90" w:type="dxa"/>
              <w:start w:w="120" w:type="dxa"/>
              <w:bottom w:w="90" w:type="dxa"/>
              <w:end w:w="120" w:type="dxa"/>
            </w:tcMar>
            <w:vAlign w:val="center"/>
            <w:shd w:fill="F4F6F9"/>
          </w:tcPr>
          <w:p>
            <w:pPr>
              <w:pStyle w:val="TableText"/>
              <w:jc w:val="left"/>
            </w:pPr>
            <w:r>
              <w:rPr>
                <w:rFonts w:ascii="Calibri" w:hAnsi="Calibri" w:eastAsia="Calibri"/>
                <w:b w:val="0"/>
                <w:color w:val="1F2933"/>
                <w:sz w:val="17"/>
              </w:rPr>
              <w:t>Rotation and revocation drill</w:t>
            </w:r>
          </w:p>
        </w:tc>
      </w:tr>
      <w:tr>
        <w:trPr>
          <w:cantSplit w:val="true"/>
        </w:trPr>
        <w:tc>
          <w:tcPr>
            <w:tcW w:type="dxa" w:w="850"/>
            <w:tcMar>
              <w:top w:w="90" w:type="dxa"/>
              <w:start w:w="120" w:type="dxa"/>
              <w:bottom w:w="90" w:type="dxa"/>
              <w:end w:w="120" w:type="dxa"/>
            </w:tcMar>
            <w:vAlign w:val="center"/>
          </w:tcPr>
          <w:p>
            <w:pPr>
              <w:pStyle w:val="TableText"/>
              <w:jc w:val="left"/>
            </w:pPr>
            <w:r>
              <w:rPr>
                <w:rFonts w:ascii="Calibri" w:hAnsi="Calibri" w:eastAsia="Calibri"/>
                <w:b w:val="0"/>
                <w:color w:val="1F2933"/>
                <w:sz w:val="17"/>
              </w:rPr>
              <w:t>SRV-02</w:t>
            </w:r>
          </w:p>
        </w:tc>
        <w:tc>
          <w:tcPr>
            <w:tcW w:type="dxa" w:w="2150"/>
            <w:tcMar>
              <w:top w:w="90" w:type="dxa"/>
              <w:start w:w="120" w:type="dxa"/>
              <w:bottom w:w="90" w:type="dxa"/>
              <w:end w:w="120" w:type="dxa"/>
            </w:tcMar>
            <w:vAlign w:val="center"/>
          </w:tcPr>
          <w:p>
            <w:pPr>
              <w:pStyle w:val="TableText"/>
              <w:jc w:val="left"/>
            </w:pPr>
            <w:r>
              <w:rPr>
                <w:rFonts w:ascii="Calibri" w:hAnsi="Calibri" w:eastAsia="Calibri"/>
                <w:b w:val="0"/>
                <w:color w:val="1F2933"/>
                <w:sz w:val="17"/>
              </w:rPr>
              <w:t>Federated query orchestration</w:t>
            </w:r>
          </w:p>
        </w:tc>
        <w:tc>
          <w:tcPr>
            <w:tcW w:type="dxa" w:w="1450"/>
            <w:tcMar>
              <w:top w:w="90" w:type="dxa"/>
              <w:start w:w="120" w:type="dxa"/>
              <w:bottom w:w="90" w:type="dxa"/>
              <w:end w:w="120" w:type="dxa"/>
            </w:tcMar>
            <w:vAlign w:val="center"/>
          </w:tcPr>
          <w:p>
            <w:pPr>
              <w:pStyle w:val="TableText"/>
              <w:jc w:val="left"/>
            </w:pPr>
            <w:r>
              <w:rPr>
                <w:rFonts w:ascii="Calibri" w:hAnsi="Calibri" w:eastAsia="Calibri"/>
                <w:b w:val="0"/>
                <w:color w:val="1F2933"/>
                <w:sz w:val="17"/>
              </w:rPr>
              <w:t>Platform team</w:t>
            </w:r>
          </w:p>
        </w:tc>
        <w:tc>
          <w:tcPr>
            <w:tcW w:type="dxa" w:w="2550"/>
            <w:tcMar>
              <w:top w:w="90" w:type="dxa"/>
              <w:start w:w="120" w:type="dxa"/>
              <w:bottom w:w="90" w:type="dxa"/>
              <w:end w:w="120" w:type="dxa"/>
            </w:tcMar>
            <w:vAlign w:val="center"/>
          </w:tcPr>
          <w:p>
            <w:pPr>
              <w:pStyle w:val="TableText"/>
              <w:jc w:val="left"/>
            </w:pPr>
            <w:r>
              <w:rPr>
                <w:rFonts w:ascii="Calibri" w:hAnsi="Calibri" w:eastAsia="Calibri"/>
                <w:b w:val="0"/>
                <w:color w:val="1F2933"/>
                <w:sz w:val="17"/>
              </w:rPr>
              <w:t>Queue, policy, retries, budgets</w:t>
            </w:r>
          </w:p>
        </w:tc>
        <w:tc>
          <w:tcPr>
            <w:tcW w:type="dxa" w:w="2360"/>
            <w:tcMar>
              <w:top w:w="90" w:type="dxa"/>
              <w:start w:w="120" w:type="dxa"/>
              <w:bottom w:w="90" w:type="dxa"/>
              <w:end w:w="120" w:type="dxa"/>
            </w:tcMar>
            <w:vAlign w:val="center"/>
          </w:tcPr>
          <w:p>
            <w:pPr>
              <w:pStyle w:val="TableText"/>
              <w:jc w:val="left"/>
            </w:pPr>
            <w:r>
              <w:rPr>
                <w:rFonts w:ascii="Calibri" w:hAnsi="Calibri" w:eastAsia="Calibri"/>
                <w:b w:val="0"/>
                <w:color w:val="1F2933"/>
                <w:sz w:val="17"/>
              </w:rPr>
              <w:t>10,000-site simulation</w:t>
            </w:r>
          </w:p>
        </w:tc>
      </w:tr>
      <w:tr>
        <w:trPr>
          <w:cantSplit w:val="true"/>
        </w:trPr>
        <w:tc>
          <w:tcPr>
            <w:tcW w:type="dxa" w:w="850"/>
            <w:tcMar>
              <w:top w:w="90" w:type="dxa"/>
              <w:start w:w="120" w:type="dxa"/>
              <w:bottom w:w="90" w:type="dxa"/>
              <w:end w:w="120" w:type="dxa"/>
            </w:tcMar>
            <w:vAlign w:val="center"/>
            <w:shd w:fill="F4F6F9"/>
          </w:tcPr>
          <w:p>
            <w:pPr>
              <w:pStyle w:val="TableText"/>
              <w:jc w:val="left"/>
            </w:pPr>
            <w:r>
              <w:rPr>
                <w:rFonts w:ascii="Calibri" w:hAnsi="Calibri" w:eastAsia="Calibri"/>
                <w:b w:val="0"/>
                <w:color w:val="1F2933"/>
                <w:sz w:val="17"/>
              </w:rPr>
              <w:t>SRV-03</w:t>
            </w:r>
          </w:p>
        </w:tc>
        <w:tc>
          <w:tcPr>
            <w:tcW w:type="dxa" w:w="2150"/>
            <w:tcMar>
              <w:top w:w="90" w:type="dxa"/>
              <w:start w:w="120" w:type="dxa"/>
              <w:bottom w:w="90" w:type="dxa"/>
              <w:end w:w="120" w:type="dxa"/>
            </w:tcMar>
            <w:vAlign w:val="center"/>
            <w:shd w:fill="F4F6F9"/>
          </w:tcPr>
          <w:p>
            <w:pPr>
              <w:pStyle w:val="TableText"/>
              <w:jc w:val="left"/>
            </w:pPr>
            <w:r>
              <w:rPr>
                <w:rFonts w:ascii="Calibri" w:hAnsi="Calibri" w:eastAsia="Calibri"/>
                <w:b w:val="0"/>
                <w:color w:val="1F2933"/>
                <w:sz w:val="17"/>
              </w:rPr>
              <w:t>Data-product catalogue</w:t>
            </w:r>
          </w:p>
        </w:tc>
        <w:tc>
          <w:tcPr>
            <w:tcW w:type="dxa" w:w="1450"/>
            <w:tcMar>
              <w:top w:w="90" w:type="dxa"/>
              <w:start w:w="120" w:type="dxa"/>
              <w:bottom w:w="90" w:type="dxa"/>
              <w:end w:w="120" w:type="dxa"/>
            </w:tcMar>
            <w:vAlign w:val="center"/>
            <w:shd w:fill="F4F6F9"/>
          </w:tcPr>
          <w:p>
            <w:pPr>
              <w:pStyle w:val="TableText"/>
              <w:jc w:val="left"/>
            </w:pPr>
            <w:r>
              <w:rPr>
                <w:rFonts w:ascii="Calibri" w:hAnsi="Calibri" w:eastAsia="Calibri"/>
                <w:b w:val="0"/>
                <w:color w:val="1F2933"/>
                <w:sz w:val="17"/>
              </w:rPr>
              <w:t>Data platform</w:t>
            </w:r>
          </w:p>
        </w:tc>
        <w:tc>
          <w:tcPr>
            <w:tcW w:type="dxa" w:w="2550"/>
            <w:tcMar>
              <w:top w:w="90" w:type="dxa"/>
              <w:start w:w="120" w:type="dxa"/>
              <w:bottom w:w="90" w:type="dxa"/>
              <w:end w:w="120" w:type="dxa"/>
            </w:tcMar>
            <w:vAlign w:val="center"/>
            <w:shd w:fill="F4F6F9"/>
          </w:tcPr>
          <w:p>
            <w:pPr>
              <w:pStyle w:val="TableText"/>
              <w:jc w:val="left"/>
            </w:pPr>
            <w:r>
              <w:rPr>
                <w:rFonts w:ascii="Calibri" w:hAnsi="Calibri" w:eastAsia="Calibri"/>
                <w:b w:val="0"/>
                <w:color w:val="1F2933"/>
                <w:sz w:val="17"/>
              </w:rPr>
              <w:t>Metadata, lineage, quality and access</w:t>
            </w:r>
          </w:p>
        </w:tc>
        <w:tc>
          <w:tcPr>
            <w:tcW w:type="dxa" w:w="2360"/>
            <w:tcMar>
              <w:top w:w="90" w:type="dxa"/>
              <w:start w:w="120" w:type="dxa"/>
              <w:bottom w:w="90" w:type="dxa"/>
              <w:end w:w="120" w:type="dxa"/>
            </w:tcMar>
            <w:vAlign w:val="center"/>
            <w:shd w:fill="F4F6F9"/>
          </w:tcPr>
          <w:p>
            <w:pPr>
              <w:pStyle w:val="TableText"/>
              <w:jc w:val="left"/>
            </w:pPr>
            <w:r>
              <w:rPr>
                <w:rFonts w:ascii="Calibri" w:hAnsi="Calibri" w:eastAsia="Calibri"/>
                <w:b w:val="0"/>
                <w:color w:val="1F2933"/>
                <w:sz w:val="17"/>
              </w:rPr>
              <w:t>Every KPI traceable to source/version</w:t>
            </w:r>
          </w:p>
        </w:tc>
      </w:tr>
      <w:tr>
        <w:trPr>
          <w:cantSplit w:val="true"/>
        </w:trPr>
        <w:tc>
          <w:tcPr>
            <w:tcW w:type="dxa" w:w="850"/>
            <w:tcMar>
              <w:top w:w="90" w:type="dxa"/>
              <w:start w:w="120" w:type="dxa"/>
              <w:bottom w:w="90" w:type="dxa"/>
              <w:end w:w="120" w:type="dxa"/>
            </w:tcMar>
            <w:vAlign w:val="center"/>
          </w:tcPr>
          <w:p>
            <w:pPr>
              <w:pStyle w:val="TableText"/>
              <w:jc w:val="left"/>
            </w:pPr>
            <w:r>
              <w:rPr>
                <w:rFonts w:ascii="Calibri" w:hAnsi="Calibri" w:eastAsia="Calibri"/>
                <w:b w:val="0"/>
                <w:color w:val="1F2933"/>
                <w:sz w:val="17"/>
              </w:rPr>
              <w:t>SRV-04</w:t>
            </w:r>
          </w:p>
        </w:tc>
        <w:tc>
          <w:tcPr>
            <w:tcW w:type="dxa" w:w="2150"/>
            <w:tcMar>
              <w:top w:w="90" w:type="dxa"/>
              <w:start w:w="120" w:type="dxa"/>
              <w:bottom w:w="90" w:type="dxa"/>
              <w:end w:w="120" w:type="dxa"/>
            </w:tcMar>
            <w:vAlign w:val="center"/>
          </w:tcPr>
          <w:p>
            <w:pPr>
              <w:pStyle w:val="TableText"/>
              <w:jc w:val="left"/>
            </w:pPr>
            <w:r>
              <w:rPr>
                <w:rFonts w:ascii="Calibri" w:hAnsi="Calibri" w:eastAsia="Calibri"/>
                <w:b w:val="0"/>
                <w:color w:val="1F2933"/>
                <w:sz w:val="17"/>
              </w:rPr>
              <w:t>Alert/case/action workflow</w:t>
            </w:r>
          </w:p>
        </w:tc>
        <w:tc>
          <w:tcPr>
            <w:tcW w:type="dxa" w:w="1450"/>
            <w:tcMar>
              <w:top w:w="90" w:type="dxa"/>
              <w:start w:w="120" w:type="dxa"/>
              <w:bottom w:w="90" w:type="dxa"/>
              <w:end w:w="120" w:type="dxa"/>
            </w:tcMar>
            <w:vAlign w:val="center"/>
          </w:tcPr>
          <w:p>
            <w:pPr>
              <w:pStyle w:val="TableText"/>
              <w:jc w:val="left"/>
            </w:pPr>
            <w:r>
              <w:rPr>
                <w:rFonts w:ascii="Calibri" w:hAnsi="Calibri" w:eastAsia="Calibri"/>
                <w:b w:val="0"/>
                <w:color w:val="1F2933"/>
                <w:sz w:val="17"/>
              </w:rPr>
              <w:t>Programme product team</w:t>
            </w:r>
          </w:p>
        </w:tc>
        <w:tc>
          <w:tcPr>
            <w:tcW w:type="dxa" w:w="2550"/>
            <w:tcMar>
              <w:top w:w="90" w:type="dxa"/>
              <w:start w:w="120" w:type="dxa"/>
              <w:bottom w:w="90" w:type="dxa"/>
              <w:end w:w="120" w:type="dxa"/>
            </w:tcMar>
            <w:vAlign w:val="center"/>
          </w:tcPr>
          <w:p>
            <w:pPr>
              <w:pStyle w:val="TableText"/>
              <w:jc w:val="left"/>
            </w:pPr>
            <w:r>
              <w:rPr>
                <w:rFonts w:ascii="Calibri" w:hAnsi="Calibri" w:eastAsia="Calibri"/>
                <w:b w:val="0"/>
                <w:color w:val="1F2933"/>
                <w:sz w:val="17"/>
              </w:rPr>
              <w:t>SLA, escalation, evidence and closure</w:t>
            </w:r>
          </w:p>
        </w:tc>
        <w:tc>
          <w:tcPr>
            <w:tcW w:type="dxa" w:w="2360"/>
            <w:tcMar>
              <w:top w:w="90" w:type="dxa"/>
              <w:start w:w="120" w:type="dxa"/>
              <w:bottom w:w="90" w:type="dxa"/>
              <w:end w:w="120" w:type="dxa"/>
            </w:tcMar>
            <w:vAlign w:val="center"/>
          </w:tcPr>
          <w:p>
            <w:pPr>
              <w:pStyle w:val="TableText"/>
              <w:jc w:val="left"/>
            </w:pPr>
            <w:r>
              <w:rPr>
                <w:rFonts w:ascii="Calibri" w:hAnsi="Calibri" w:eastAsia="Calibri"/>
                <w:b w:val="0"/>
                <w:color w:val="1F2933"/>
                <w:sz w:val="17"/>
              </w:rPr>
              <w:t>Tabletop exercise completion</w:t>
            </w:r>
          </w:p>
        </w:tc>
      </w:tr>
      <w:tr>
        <w:trPr>
          <w:cantSplit w:val="true"/>
        </w:trPr>
        <w:tc>
          <w:tcPr>
            <w:tcW w:type="dxa" w:w="850"/>
            <w:tcMar>
              <w:top w:w="90" w:type="dxa"/>
              <w:start w:w="120" w:type="dxa"/>
              <w:bottom w:w="90" w:type="dxa"/>
              <w:end w:w="120" w:type="dxa"/>
            </w:tcMar>
            <w:vAlign w:val="center"/>
            <w:shd w:fill="F4F6F9"/>
          </w:tcPr>
          <w:p>
            <w:pPr>
              <w:pStyle w:val="TableText"/>
              <w:jc w:val="left"/>
            </w:pPr>
            <w:r>
              <w:rPr>
                <w:rFonts w:ascii="Calibri" w:hAnsi="Calibri" w:eastAsia="Calibri"/>
                <w:b w:val="0"/>
                <w:color w:val="1F2933"/>
                <w:sz w:val="17"/>
              </w:rPr>
              <w:t>SRV-05</w:t>
            </w:r>
          </w:p>
        </w:tc>
        <w:tc>
          <w:tcPr>
            <w:tcW w:type="dxa" w:w="2150"/>
            <w:tcMar>
              <w:top w:w="90" w:type="dxa"/>
              <w:start w:w="120" w:type="dxa"/>
              <w:bottom w:w="90" w:type="dxa"/>
              <w:end w:w="120" w:type="dxa"/>
            </w:tcMar>
            <w:vAlign w:val="center"/>
            <w:shd w:fill="F4F6F9"/>
          </w:tcPr>
          <w:p>
            <w:pPr>
              <w:pStyle w:val="TableText"/>
              <w:jc w:val="left"/>
            </w:pPr>
            <w:r>
              <w:rPr>
                <w:rFonts w:ascii="Calibri" w:hAnsi="Calibri" w:eastAsia="Calibri"/>
                <w:b w:val="0"/>
                <w:color w:val="1F2933"/>
                <w:sz w:val="17"/>
              </w:rPr>
              <w:t>Programme monitoring</w:t>
            </w:r>
          </w:p>
        </w:tc>
        <w:tc>
          <w:tcPr>
            <w:tcW w:type="dxa" w:w="1450"/>
            <w:tcMar>
              <w:top w:w="90" w:type="dxa"/>
              <w:start w:w="120" w:type="dxa"/>
              <w:bottom w:w="90" w:type="dxa"/>
              <w:end w:w="120" w:type="dxa"/>
            </w:tcMar>
            <w:vAlign w:val="center"/>
            <w:shd w:fill="F4F6F9"/>
          </w:tcPr>
          <w:p>
            <w:pPr>
              <w:pStyle w:val="TableText"/>
              <w:jc w:val="left"/>
            </w:pPr>
            <w:r>
              <w:rPr>
                <w:rFonts w:ascii="Calibri" w:hAnsi="Calibri" w:eastAsia="Calibri"/>
                <w:b w:val="0"/>
                <w:color w:val="1F2933"/>
                <w:sz w:val="17"/>
              </w:rPr>
              <w:t>NAP Secretariat</w:t>
            </w:r>
          </w:p>
        </w:tc>
        <w:tc>
          <w:tcPr>
            <w:tcW w:type="dxa" w:w="2550"/>
            <w:tcMar>
              <w:top w:w="90" w:type="dxa"/>
              <w:start w:w="120" w:type="dxa"/>
              <w:bottom w:w="90" w:type="dxa"/>
              <w:end w:w="120" w:type="dxa"/>
            </w:tcMar>
            <w:vAlign w:val="center"/>
            <w:shd w:fill="F4F6F9"/>
          </w:tcPr>
          <w:p>
            <w:pPr>
              <w:pStyle w:val="TableText"/>
              <w:jc w:val="left"/>
            </w:pPr>
            <w:r>
              <w:rPr>
                <w:rFonts w:ascii="Calibri" w:hAnsi="Calibri" w:eastAsia="Calibri"/>
                <w:b w:val="0"/>
                <w:color w:val="1F2933"/>
                <w:sz w:val="17"/>
              </w:rPr>
              <w:t>Milestones, budgets, outputs/outcomes</w:t>
            </w:r>
          </w:p>
        </w:tc>
        <w:tc>
          <w:tcPr>
            <w:tcW w:type="dxa" w:w="2360"/>
            <w:tcMar>
              <w:top w:w="90" w:type="dxa"/>
              <w:start w:w="120" w:type="dxa"/>
              <w:bottom w:w="90" w:type="dxa"/>
              <w:end w:w="120" w:type="dxa"/>
            </w:tcMar>
            <w:vAlign w:val="center"/>
            <w:shd w:fill="F4F6F9"/>
          </w:tcPr>
          <w:p>
            <w:pPr>
              <w:pStyle w:val="TableText"/>
              <w:jc w:val="left"/>
            </w:pPr>
            <w:r>
              <w:rPr>
                <w:rFonts w:ascii="Calibri" w:hAnsi="Calibri" w:eastAsia="Calibri"/>
                <w:b w:val="0"/>
                <w:color w:val="1F2933"/>
                <w:sz w:val="17"/>
              </w:rPr>
              <w:t>Ministry/State evidence review</w:t>
            </w:r>
          </w:p>
        </w:tc>
      </w:tr>
      <w:tr>
        <w:trPr>
          <w:cantSplit w:val="true"/>
        </w:trPr>
        <w:tc>
          <w:tcPr>
            <w:tcW w:type="dxa" w:w="850"/>
            <w:tcMar>
              <w:top w:w="90" w:type="dxa"/>
              <w:start w:w="120" w:type="dxa"/>
              <w:bottom w:w="90" w:type="dxa"/>
              <w:end w:w="120" w:type="dxa"/>
            </w:tcMar>
            <w:vAlign w:val="center"/>
          </w:tcPr>
          <w:p>
            <w:pPr>
              <w:pStyle w:val="TableText"/>
              <w:jc w:val="left"/>
            </w:pPr>
            <w:r>
              <w:rPr>
                <w:rFonts w:ascii="Calibri" w:hAnsi="Calibri" w:eastAsia="Calibri"/>
                <w:b w:val="0"/>
                <w:color w:val="1F2933"/>
                <w:sz w:val="17"/>
              </w:rPr>
              <w:t>ANA-01</w:t>
            </w:r>
          </w:p>
        </w:tc>
        <w:tc>
          <w:tcPr>
            <w:tcW w:type="dxa" w:w="2150"/>
            <w:tcMar>
              <w:top w:w="90" w:type="dxa"/>
              <w:start w:w="120" w:type="dxa"/>
              <w:bottom w:w="90" w:type="dxa"/>
              <w:end w:w="120" w:type="dxa"/>
            </w:tcMar>
            <w:vAlign w:val="center"/>
          </w:tcPr>
          <w:p>
            <w:pPr>
              <w:pStyle w:val="TableText"/>
              <w:jc w:val="left"/>
            </w:pPr>
            <w:r>
              <w:rPr>
                <w:rFonts w:ascii="Calibri" w:hAnsi="Calibri" w:eastAsia="Calibri"/>
                <w:b w:val="0"/>
                <w:color w:val="1F2933"/>
                <w:sz w:val="17"/>
              </w:rPr>
              <w:t>Reproducible metrics service</w:t>
            </w:r>
          </w:p>
        </w:tc>
        <w:tc>
          <w:tcPr>
            <w:tcW w:type="dxa" w:w="1450"/>
            <w:tcMar>
              <w:top w:w="90" w:type="dxa"/>
              <w:start w:w="120" w:type="dxa"/>
              <w:bottom w:w="90" w:type="dxa"/>
              <w:end w:w="120" w:type="dxa"/>
            </w:tcMar>
            <w:vAlign w:val="center"/>
          </w:tcPr>
          <w:p>
            <w:pPr>
              <w:pStyle w:val="TableText"/>
              <w:jc w:val="left"/>
            </w:pPr>
            <w:r>
              <w:rPr>
                <w:rFonts w:ascii="Calibri" w:hAnsi="Calibri" w:eastAsia="Calibri"/>
                <w:b w:val="0"/>
                <w:color w:val="1F2933"/>
                <w:sz w:val="17"/>
              </w:rPr>
              <w:t>Epidemiology team</w:t>
            </w:r>
          </w:p>
        </w:tc>
        <w:tc>
          <w:tcPr>
            <w:tcW w:type="dxa" w:w="2550"/>
            <w:tcMar>
              <w:top w:w="90" w:type="dxa"/>
              <w:start w:w="120" w:type="dxa"/>
              <w:bottom w:w="90" w:type="dxa"/>
              <w:end w:w="120" w:type="dxa"/>
            </w:tcMar>
            <w:vAlign w:val="center"/>
          </w:tcPr>
          <w:p>
            <w:pPr>
              <w:pStyle w:val="TableText"/>
              <w:jc w:val="left"/>
            </w:pPr>
            <w:r>
              <w:rPr>
                <w:rFonts w:ascii="Calibri" w:hAnsi="Calibri" w:eastAsia="Calibri"/>
                <w:b w:val="0"/>
                <w:color w:val="1F2933"/>
                <w:sz w:val="17"/>
              </w:rPr>
              <w:t>Versioned statistical pipelines</w:t>
            </w:r>
          </w:p>
        </w:tc>
        <w:tc>
          <w:tcPr>
            <w:tcW w:type="dxa" w:w="2360"/>
            <w:tcMar>
              <w:top w:w="90" w:type="dxa"/>
              <w:start w:w="120" w:type="dxa"/>
              <w:bottom w:w="90" w:type="dxa"/>
              <w:end w:w="120" w:type="dxa"/>
            </w:tcMar>
            <w:vAlign w:val="center"/>
          </w:tcPr>
          <w:p>
            <w:pPr>
              <w:pStyle w:val="TableText"/>
              <w:jc w:val="left"/>
            </w:pPr>
            <w:r>
              <w:rPr>
                <w:rFonts w:ascii="Calibri" w:hAnsi="Calibri" w:eastAsia="Calibri"/>
                <w:b w:val="0"/>
                <w:color w:val="1F2933"/>
                <w:sz w:val="17"/>
              </w:rPr>
              <w:t>Independent code/data validation</w:t>
            </w:r>
          </w:p>
        </w:tc>
      </w:tr>
      <w:tr>
        <w:trPr>
          <w:cantSplit w:val="true"/>
        </w:trPr>
        <w:tc>
          <w:tcPr>
            <w:tcW w:type="dxa" w:w="850"/>
            <w:tcMar>
              <w:top w:w="90" w:type="dxa"/>
              <w:start w:w="120" w:type="dxa"/>
              <w:bottom w:w="90" w:type="dxa"/>
              <w:end w:w="120" w:type="dxa"/>
            </w:tcMar>
            <w:vAlign w:val="center"/>
            <w:shd w:fill="F4F6F9"/>
          </w:tcPr>
          <w:p>
            <w:pPr>
              <w:pStyle w:val="TableText"/>
              <w:jc w:val="left"/>
            </w:pPr>
            <w:r>
              <w:rPr>
                <w:rFonts w:ascii="Calibri" w:hAnsi="Calibri" w:eastAsia="Calibri"/>
                <w:b w:val="0"/>
                <w:color w:val="1F2933"/>
                <w:sz w:val="17"/>
              </w:rPr>
              <w:t>ANA-02</w:t>
            </w:r>
          </w:p>
        </w:tc>
        <w:tc>
          <w:tcPr>
            <w:tcW w:type="dxa" w:w="2150"/>
            <w:tcMar>
              <w:top w:w="90" w:type="dxa"/>
              <w:start w:w="120" w:type="dxa"/>
              <w:bottom w:w="90" w:type="dxa"/>
              <w:end w:w="120" w:type="dxa"/>
            </w:tcMar>
            <w:vAlign w:val="center"/>
            <w:shd w:fill="F4F6F9"/>
          </w:tcPr>
          <w:p>
            <w:pPr>
              <w:pStyle w:val="TableText"/>
              <w:jc w:val="left"/>
            </w:pPr>
            <w:r>
              <w:rPr>
                <w:rFonts w:ascii="Calibri" w:hAnsi="Calibri" w:eastAsia="Calibri"/>
                <w:b w:val="0"/>
                <w:color w:val="1F2933"/>
                <w:sz w:val="17"/>
              </w:rPr>
              <w:t>Representativeness framework</w:t>
            </w:r>
          </w:p>
        </w:tc>
        <w:tc>
          <w:tcPr>
            <w:tcW w:type="dxa" w:w="1450"/>
            <w:tcMar>
              <w:top w:w="90" w:type="dxa"/>
              <w:start w:w="120" w:type="dxa"/>
              <w:bottom w:w="90" w:type="dxa"/>
              <w:end w:w="120" w:type="dxa"/>
            </w:tcMar>
            <w:vAlign w:val="center"/>
            <w:shd w:fill="F4F6F9"/>
          </w:tcPr>
          <w:p>
            <w:pPr>
              <w:pStyle w:val="TableText"/>
              <w:jc w:val="left"/>
            </w:pPr>
            <w:r>
              <w:rPr>
                <w:rFonts w:ascii="Calibri" w:hAnsi="Calibri" w:eastAsia="Calibri"/>
                <w:b w:val="0"/>
                <w:color w:val="1F2933"/>
                <w:sz w:val="17"/>
              </w:rPr>
              <w:t>Epidemiology team</w:t>
            </w:r>
          </w:p>
        </w:tc>
        <w:tc>
          <w:tcPr>
            <w:tcW w:type="dxa" w:w="2550"/>
            <w:tcMar>
              <w:top w:w="90" w:type="dxa"/>
              <w:start w:w="120" w:type="dxa"/>
              <w:bottom w:w="90" w:type="dxa"/>
              <w:end w:w="120" w:type="dxa"/>
            </w:tcMar>
            <w:vAlign w:val="center"/>
            <w:shd w:fill="F4F6F9"/>
          </w:tcPr>
          <w:p>
            <w:pPr>
              <w:pStyle w:val="TableText"/>
              <w:jc w:val="left"/>
            </w:pPr>
            <w:r>
              <w:rPr>
                <w:rFonts w:ascii="Calibri" w:hAnsi="Calibri" w:eastAsia="Calibri"/>
                <w:b w:val="0"/>
                <w:color w:val="1F2933"/>
                <w:sz w:val="17"/>
              </w:rPr>
              <w:t>Sampling/weighting and labelling rules</w:t>
            </w:r>
          </w:p>
        </w:tc>
        <w:tc>
          <w:tcPr>
            <w:tcW w:type="dxa" w:w="2360"/>
            <w:tcMar>
              <w:top w:w="90" w:type="dxa"/>
              <w:start w:w="120" w:type="dxa"/>
              <w:bottom w:w="90" w:type="dxa"/>
              <w:end w:w="120" w:type="dxa"/>
            </w:tcMar>
            <w:vAlign w:val="center"/>
            <w:shd w:fill="F4F6F9"/>
          </w:tcPr>
          <w:p>
            <w:pPr>
              <w:pStyle w:val="TableText"/>
              <w:jc w:val="left"/>
            </w:pPr>
            <w:r>
              <w:rPr>
                <w:rFonts w:ascii="Calibri" w:hAnsi="Calibri" w:eastAsia="Calibri"/>
                <w:b w:val="0"/>
                <w:color w:val="1F2933"/>
                <w:sz w:val="17"/>
              </w:rPr>
              <w:t>Methods board approval</w:t>
            </w:r>
          </w:p>
        </w:tc>
      </w:tr>
      <w:tr>
        <w:trPr>
          <w:cantSplit w:val="true"/>
        </w:trPr>
        <w:tc>
          <w:tcPr>
            <w:tcW w:type="dxa" w:w="850"/>
            <w:tcMar>
              <w:top w:w="90" w:type="dxa"/>
              <w:start w:w="120" w:type="dxa"/>
              <w:bottom w:w="90" w:type="dxa"/>
              <w:end w:w="120" w:type="dxa"/>
            </w:tcMar>
            <w:vAlign w:val="center"/>
          </w:tcPr>
          <w:p>
            <w:pPr>
              <w:pStyle w:val="TableText"/>
              <w:jc w:val="left"/>
            </w:pPr>
            <w:r>
              <w:rPr>
                <w:rFonts w:ascii="Calibri" w:hAnsi="Calibri" w:eastAsia="Calibri"/>
                <w:b w:val="0"/>
                <w:color w:val="1F2933"/>
                <w:sz w:val="17"/>
              </w:rPr>
              <w:t>ANA-03</w:t>
            </w:r>
          </w:p>
        </w:tc>
        <w:tc>
          <w:tcPr>
            <w:tcW w:type="dxa" w:w="2150"/>
            <w:tcMar>
              <w:top w:w="90" w:type="dxa"/>
              <w:start w:w="120" w:type="dxa"/>
              <w:bottom w:w="90" w:type="dxa"/>
              <w:end w:w="120" w:type="dxa"/>
            </w:tcMar>
            <w:vAlign w:val="center"/>
          </w:tcPr>
          <w:p>
            <w:pPr>
              <w:pStyle w:val="TableText"/>
              <w:jc w:val="left"/>
            </w:pPr>
            <w:r>
              <w:rPr>
                <w:rFonts w:ascii="Calibri" w:hAnsi="Calibri" w:eastAsia="Calibri"/>
                <w:b w:val="0"/>
                <w:color w:val="1F2933"/>
                <w:sz w:val="17"/>
              </w:rPr>
              <w:t>Joint risk assessment</w:t>
            </w:r>
          </w:p>
        </w:tc>
        <w:tc>
          <w:tcPr>
            <w:tcW w:type="dxa" w:w="1450"/>
            <w:tcMar>
              <w:top w:w="90" w:type="dxa"/>
              <w:start w:w="120" w:type="dxa"/>
              <w:bottom w:w="90" w:type="dxa"/>
              <w:end w:w="120" w:type="dxa"/>
            </w:tcMar>
            <w:vAlign w:val="center"/>
          </w:tcPr>
          <w:p>
            <w:pPr>
              <w:pStyle w:val="TableText"/>
              <w:jc w:val="left"/>
            </w:pPr>
            <w:r>
              <w:rPr>
                <w:rFonts w:ascii="Calibri" w:hAnsi="Calibri" w:eastAsia="Calibri"/>
                <w:b w:val="0"/>
                <w:color w:val="1F2933"/>
                <w:sz w:val="17"/>
              </w:rPr>
              <w:t>One Health TWG</w:t>
            </w:r>
          </w:p>
        </w:tc>
        <w:tc>
          <w:tcPr>
            <w:tcW w:type="dxa" w:w="2550"/>
            <w:tcMar>
              <w:top w:w="90" w:type="dxa"/>
              <w:start w:w="120" w:type="dxa"/>
              <w:bottom w:w="90" w:type="dxa"/>
              <w:end w:w="120" w:type="dxa"/>
            </w:tcMar>
            <w:vAlign w:val="center"/>
          </w:tcPr>
          <w:p>
            <w:pPr>
              <w:pStyle w:val="TableText"/>
              <w:jc w:val="left"/>
            </w:pPr>
            <w:r>
              <w:rPr>
                <w:rFonts w:ascii="Calibri" w:hAnsi="Calibri" w:eastAsia="Calibri"/>
                <w:b w:val="0"/>
                <w:color w:val="1F2933"/>
                <w:sz w:val="17"/>
              </w:rPr>
              <w:t>Transparent component scoring</w:t>
            </w:r>
          </w:p>
        </w:tc>
        <w:tc>
          <w:tcPr>
            <w:tcW w:type="dxa" w:w="2360"/>
            <w:tcMar>
              <w:top w:w="90" w:type="dxa"/>
              <w:start w:w="120" w:type="dxa"/>
              <w:bottom w:w="90" w:type="dxa"/>
              <w:end w:w="120" w:type="dxa"/>
            </w:tcMar>
            <w:vAlign w:val="center"/>
          </w:tcPr>
          <w:p>
            <w:pPr>
              <w:pStyle w:val="TableText"/>
              <w:jc w:val="left"/>
            </w:pPr>
            <w:r>
              <w:rPr>
                <w:rFonts w:ascii="Calibri" w:hAnsi="Calibri" w:eastAsia="Calibri"/>
                <w:b w:val="0"/>
                <w:color w:val="1F2933"/>
                <w:sz w:val="17"/>
              </w:rPr>
              <w:t>Cross-sector exercise sign-off</w:t>
            </w:r>
          </w:p>
        </w:tc>
      </w:tr>
      <w:tr>
        <w:trPr>
          <w:cantSplit w:val="true"/>
        </w:trPr>
        <w:tc>
          <w:tcPr>
            <w:tcW w:type="dxa" w:w="850"/>
            <w:tcMar>
              <w:top w:w="90" w:type="dxa"/>
              <w:start w:w="120" w:type="dxa"/>
              <w:bottom w:w="90" w:type="dxa"/>
              <w:end w:w="120" w:type="dxa"/>
            </w:tcMar>
            <w:vAlign w:val="center"/>
            <w:shd w:fill="F4F6F9"/>
          </w:tcPr>
          <w:p>
            <w:pPr>
              <w:pStyle w:val="TableText"/>
              <w:jc w:val="left"/>
            </w:pPr>
            <w:r>
              <w:rPr>
                <w:rFonts w:ascii="Calibri" w:hAnsi="Calibri" w:eastAsia="Calibri"/>
                <w:b w:val="0"/>
                <w:color w:val="1F2933"/>
                <w:sz w:val="17"/>
              </w:rPr>
              <w:t>PUB-01</w:t>
            </w:r>
          </w:p>
        </w:tc>
        <w:tc>
          <w:tcPr>
            <w:tcW w:type="dxa" w:w="2150"/>
            <w:tcMar>
              <w:top w:w="90" w:type="dxa"/>
              <w:start w:w="120" w:type="dxa"/>
              <w:bottom w:w="90" w:type="dxa"/>
              <w:end w:w="120" w:type="dxa"/>
            </w:tcMar>
            <w:vAlign w:val="center"/>
            <w:shd w:fill="F4F6F9"/>
          </w:tcPr>
          <w:p>
            <w:pPr>
              <w:pStyle w:val="TableText"/>
              <w:jc w:val="left"/>
            </w:pPr>
            <w:r>
              <w:rPr>
                <w:rFonts w:ascii="Calibri" w:hAnsi="Calibri" w:eastAsia="Calibri"/>
                <w:b w:val="0"/>
                <w:color w:val="1F2933"/>
                <w:sz w:val="17"/>
              </w:rPr>
              <w:t>Public portal</w:t>
            </w:r>
          </w:p>
        </w:tc>
        <w:tc>
          <w:tcPr>
            <w:tcW w:type="dxa" w:w="1450"/>
            <w:tcMar>
              <w:top w:w="90" w:type="dxa"/>
              <w:start w:w="120" w:type="dxa"/>
              <w:bottom w:w="90" w:type="dxa"/>
              <w:end w:w="120" w:type="dxa"/>
            </w:tcMar>
            <w:vAlign w:val="center"/>
            <w:shd w:fill="F4F6F9"/>
          </w:tcPr>
          <w:p>
            <w:pPr>
              <w:pStyle w:val="TableText"/>
              <w:jc w:val="left"/>
            </w:pPr>
            <w:r>
              <w:rPr>
                <w:rFonts w:ascii="Calibri" w:hAnsi="Calibri" w:eastAsia="Calibri"/>
                <w:b w:val="0"/>
                <w:color w:val="1F2933"/>
                <w:sz w:val="17"/>
              </w:rPr>
              <w:t>Communications + data governance</w:t>
            </w:r>
          </w:p>
        </w:tc>
        <w:tc>
          <w:tcPr>
            <w:tcW w:type="dxa" w:w="2550"/>
            <w:tcMar>
              <w:top w:w="90" w:type="dxa"/>
              <w:start w:w="120" w:type="dxa"/>
              <w:bottom w:w="90" w:type="dxa"/>
              <w:end w:w="120" w:type="dxa"/>
            </w:tcMar>
            <w:vAlign w:val="center"/>
            <w:shd w:fill="F4F6F9"/>
          </w:tcPr>
          <w:p>
            <w:pPr>
              <w:pStyle w:val="TableText"/>
              <w:jc w:val="left"/>
            </w:pPr>
            <w:r>
              <w:rPr>
                <w:rFonts w:ascii="Calibri" w:hAnsi="Calibri" w:eastAsia="Calibri"/>
                <w:b w:val="0"/>
                <w:color w:val="1F2933"/>
                <w:sz w:val="17"/>
              </w:rPr>
              <w:t>Safe public indicators/methods</w:t>
            </w:r>
          </w:p>
        </w:tc>
        <w:tc>
          <w:tcPr>
            <w:tcW w:type="dxa" w:w="2360"/>
            <w:tcMar>
              <w:top w:w="90" w:type="dxa"/>
              <w:start w:w="120" w:type="dxa"/>
              <w:bottom w:w="90" w:type="dxa"/>
              <w:end w:w="120" w:type="dxa"/>
            </w:tcMar>
            <w:vAlign w:val="center"/>
            <w:shd w:fill="F4F6F9"/>
          </w:tcPr>
          <w:p>
            <w:pPr>
              <w:pStyle w:val="TableText"/>
              <w:jc w:val="left"/>
            </w:pPr>
            <w:r>
              <w:rPr>
                <w:rFonts w:ascii="Calibri" w:hAnsi="Calibri" w:eastAsia="Calibri"/>
                <w:b w:val="0"/>
                <w:color w:val="1F2933"/>
                <w:sz w:val="17"/>
              </w:rPr>
              <w:t>Disclosure and usability review</w:t>
            </w:r>
          </w:p>
        </w:tc>
      </w:tr>
      <w:tr>
        <w:trPr>
          <w:cantSplit w:val="true"/>
        </w:trPr>
        <w:tc>
          <w:tcPr>
            <w:tcW w:type="dxa" w:w="850"/>
            <w:tcMar>
              <w:top w:w="90" w:type="dxa"/>
              <w:start w:w="120" w:type="dxa"/>
              <w:bottom w:w="90" w:type="dxa"/>
              <w:end w:w="120" w:type="dxa"/>
            </w:tcMar>
            <w:vAlign w:val="center"/>
          </w:tcPr>
          <w:p>
            <w:pPr>
              <w:pStyle w:val="TableText"/>
              <w:jc w:val="left"/>
            </w:pPr>
            <w:r>
              <w:rPr>
                <w:rFonts w:ascii="Calibri" w:hAnsi="Calibri" w:eastAsia="Calibri"/>
                <w:b w:val="0"/>
                <w:color w:val="1F2933"/>
                <w:sz w:val="17"/>
              </w:rPr>
              <w:t>INT-01</w:t>
            </w:r>
          </w:p>
        </w:tc>
        <w:tc>
          <w:tcPr>
            <w:tcW w:type="dxa" w:w="2150"/>
            <w:tcMar>
              <w:top w:w="90" w:type="dxa"/>
              <w:start w:w="120" w:type="dxa"/>
              <w:bottom w:w="90" w:type="dxa"/>
              <w:end w:w="120" w:type="dxa"/>
            </w:tcMar>
            <w:vAlign w:val="center"/>
          </w:tcPr>
          <w:p>
            <w:pPr>
              <w:pStyle w:val="TableText"/>
              <w:jc w:val="left"/>
            </w:pPr>
            <w:r>
              <w:rPr>
                <w:rFonts w:ascii="Calibri" w:hAnsi="Calibri" w:eastAsia="Calibri"/>
                <w:b w:val="0"/>
                <w:color w:val="1F2933"/>
                <w:sz w:val="17"/>
              </w:rPr>
              <w:t>GLASS reporting</w:t>
            </w:r>
          </w:p>
        </w:tc>
        <w:tc>
          <w:tcPr>
            <w:tcW w:type="dxa" w:w="1450"/>
            <w:tcMar>
              <w:top w:w="90" w:type="dxa"/>
              <w:start w:w="120" w:type="dxa"/>
              <w:bottom w:w="90" w:type="dxa"/>
              <w:end w:w="120" w:type="dxa"/>
            </w:tcMar>
            <w:vAlign w:val="center"/>
          </w:tcPr>
          <w:p>
            <w:pPr>
              <w:pStyle w:val="TableText"/>
              <w:jc w:val="left"/>
            </w:pPr>
            <w:r>
              <w:rPr>
                <w:rFonts w:ascii="Calibri" w:hAnsi="Calibri" w:eastAsia="Calibri"/>
                <w:b w:val="0"/>
                <w:color w:val="1F2933"/>
                <w:sz w:val="17"/>
              </w:rPr>
              <w:t>NCDC/ICMR</w:t>
            </w:r>
          </w:p>
        </w:tc>
        <w:tc>
          <w:tcPr>
            <w:tcW w:type="dxa" w:w="2550"/>
            <w:tcMar>
              <w:top w:w="90" w:type="dxa"/>
              <w:start w:w="120" w:type="dxa"/>
              <w:bottom w:w="90" w:type="dxa"/>
              <w:end w:w="120" w:type="dxa"/>
            </w:tcMar>
            <w:vAlign w:val="center"/>
          </w:tcPr>
          <w:p>
            <w:pPr>
              <w:pStyle w:val="TableText"/>
              <w:jc w:val="left"/>
            </w:pPr>
            <w:r>
              <w:rPr>
                <w:rFonts w:ascii="Calibri" w:hAnsi="Calibri" w:eastAsia="Calibri"/>
                <w:b w:val="0"/>
                <w:color w:val="1F2933"/>
                <w:sz w:val="17"/>
              </w:rPr>
              <w:t>Validated export and audit package</w:t>
            </w:r>
          </w:p>
        </w:tc>
        <w:tc>
          <w:tcPr>
            <w:tcW w:type="dxa" w:w="2360"/>
            <w:tcMar>
              <w:top w:w="90" w:type="dxa"/>
              <w:start w:w="120" w:type="dxa"/>
              <w:bottom w:w="90" w:type="dxa"/>
              <w:end w:w="120" w:type="dxa"/>
            </w:tcMar>
            <w:vAlign w:val="center"/>
          </w:tcPr>
          <w:p>
            <w:pPr>
              <w:pStyle w:val="TableText"/>
              <w:jc w:val="left"/>
            </w:pPr>
            <w:r>
              <w:rPr>
                <w:rFonts w:ascii="Calibri" w:hAnsi="Calibri" w:eastAsia="Calibri"/>
                <w:b w:val="0"/>
                <w:color w:val="1F2933"/>
                <w:sz w:val="17"/>
              </w:rPr>
              <w:t>Parallel submission concordance</w:t>
            </w:r>
          </w:p>
        </w:tc>
      </w:tr>
      <w:tr>
        <w:trPr>
          <w:cantSplit w:val="true"/>
        </w:trPr>
        <w:tc>
          <w:tcPr>
            <w:tcW w:type="dxa" w:w="850"/>
            <w:tcMar>
              <w:top w:w="90" w:type="dxa"/>
              <w:start w:w="120" w:type="dxa"/>
              <w:bottom w:w="90" w:type="dxa"/>
              <w:end w:w="120" w:type="dxa"/>
            </w:tcMar>
            <w:vAlign w:val="center"/>
            <w:shd w:fill="F4F6F9"/>
          </w:tcPr>
          <w:p>
            <w:pPr>
              <w:pStyle w:val="TableText"/>
              <w:jc w:val="left"/>
            </w:pPr>
            <w:r>
              <w:rPr>
                <w:rFonts w:ascii="Calibri" w:hAnsi="Calibri" w:eastAsia="Calibri"/>
                <w:b w:val="0"/>
                <w:color w:val="1F2933"/>
                <w:sz w:val="17"/>
              </w:rPr>
              <w:t>INT-02</w:t>
            </w:r>
          </w:p>
        </w:tc>
        <w:tc>
          <w:tcPr>
            <w:tcW w:type="dxa" w:w="2150"/>
            <w:tcMar>
              <w:top w:w="90" w:type="dxa"/>
              <w:start w:w="120" w:type="dxa"/>
              <w:bottom w:w="90" w:type="dxa"/>
              <w:end w:w="120" w:type="dxa"/>
            </w:tcMar>
            <w:vAlign w:val="center"/>
            <w:shd w:fill="F4F6F9"/>
          </w:tcPr>
          <w:p>
            <w:pPr>
              <w:pStyle w:val="TableText"/>
              <w:jc w:val="left"/>
            </w:pPr>
            <w:r>
              <w:rPr>
                <w:rFonts w:ascii="Calibri" w:hAnsi="Calibri" w:eastAsia="Calibri"/>
                <w:b w:val="0"/>
                <w:color w:val="1F2933"/>
                <w:sz w:val="17"/>
              </w:rPr>
              <w:t>ANIMUSE/InFARM reporting</w:t>
            </w:r>
          </w:p>
        </w:tc>
        <w:tc>
          <w:tcPr>
            <w:tcW w:type="dxa" w:w="1450"/>
            <w:tcMar>
              <w:top w:w="90" w:type="dxa"/>
              <w:start w:w="120" w:type="dxa"/>
              <w:bottom w:w="90" w:type="dxa"/>
              <w:end w:w="120" w:type="dxa"/>
            </w:tcMar>
            <w:vAlign w:val="center"/>
            <w:shd w:fill="F4F6F9"/>
          </w:tcPr>
          <w:p>
            <w:pPr>
              <w:pStyle w:val="TableText"/>
              <w:jc w:val="left"/>
            </w:pPr>
            <w:r>
              <w:rPr>
                <w:rFonts w:ascii="Calibri" w:hAnsi="Calibri" w:eastAsia="Calibri"/>
                <w:b w:val="0"/>
                <w:color w:val="1F2933"/>
                <w:sz w:val="17"/>
              </w:rPr>
              <w:t>DAHD/DoF/ICAR/FSSAI</w:t>
            </w:r>
          </w:p>
        </w:tc>
        <w:tc>
          <w:tcPr>
            <w:tcW w:type="dxa" w:w="2550"/>
            <w:tcMar>
              <w:top w:w="90" w:type="dxa"/>
              <w:start w:w="120" w:type="dxa"/>
              <w:bottom w:w="90" w:type="dxa"/>
              <w:end w:w="120" w:type="dxa"/>
            </w:tcMar>
            <w:vAlign w:val="center"/>
            <w:shd w:fill="F4F6F9"/>
          </w:tcPr>
          <w:p>
            <w:pPr>
              <w:pStyle w:val="TableText"/>
              <w:jc w:val="left"/>
            </w:pPr>
            <w:r>
              <w:rPr>
                <w:rFonts w:ascii="Calibri" w:hAnsi="Calibri" w:eastAsia="Calibri"/>
                <w:b w:val="0"/>
                <w:color w:val="1F2933"/>
                <w:sz w:val="17"/>
              </w:rPr>
              <w:t>Validated sector exports</w:t>
            </w:r>
          </w:p>
        </w:tc>
        <w:tc>
          <w:tcPr>
            <w:tcW w:type="dxa" w:w="2360"/>
            <w:tcMar>
              <w:top w:w="90" w:type="dxa"/>
              <w:start w:w="120" w:type="dxa"/>
              <w:bottom w:w="90" w:type="dxa"/>
              <w:end w:w="120" w:type="dxa"/>
            </w:tcMar>
            <w:vAlign w:val="center"/>
            <w:shd w:fill="F4F6F9"/>
          </w:tcPr>
          <w:p>
            <w:pPr>
              <w:pStyle w:val="TableText"/>
              <w:jc w:val="left"/>
            </w:pPr>
            <w:r>
              <w:rPr>
                <w:rFonts w:ascii="Calibri" w:hAnsi="Calibri" w:eastAsia="Calibri"/>
                <w:b w:val="0"/>
                <w:color w:val="1F2933"/>
                <w:sz w:val="17"/>
              </w:rPr>
              <w:t>Authority sign-off</w:t>
            </w:r>
          </w:p>
        </w:tc>
      </w:tr>
      <w:tr>
        <w:trPr>
          <w:cantSplit w:val="true"/>
        </w:trPr>
        <w:tc>
          <w:tcPr>
            <w:tcW w:type="dxa" w:w="850"/>
            <w:tcMar>
              <w:top w:w="90" w:type="dxa"/>
              <w:start w:w="120" w:type="dxa"/>
              <w:bottom w:w="90" w:type="dxa"/>
              <w:end w:w="120" w:type="dxa"/>
            </w:tcMar>
            <w:vAlign w:val="center"/>
          </w:tcPr>
          <w:p>
            <w:pPr>
              <w:pStyle w:val="TableText"/>
              <w:jc w:val="left"/>
            </w:pPr>
            <w:r>
              <w:rPr>
                <w:rFonts w:ascii="Calibri" w:hAnsi="Calibri" w:eastAsia="Calibri"/>
                <w:b w:val="0"/>
                <w:color w:val="1F2933"/>
                <w:sz w:val="17"/>
              </w:rPr>
              <w:t>SEC-01</w:t>
            </w:r>
          </w:p>
        </w:tc>
        <w:tc>
          <w:tcPr>
            <w:tcW w:type="dxa" w:w="2150"/>
            <w:tcMar>
              <w:top w:w="90" w:type="dxa"/>
              <w:start w:w="120" w:type="dxa"/>
              <w:bottom w:w="90" w:type="dxa"/>
              <w:end w:w="120" w:type="dxa"/>
            </w:tcMar>
            <w:vAlign w:val="center"/>
          </w:tcPr>
          <w:p>
            <w:pPr>
              <w:pStyle w:val="TableText"/>
              <w:jc w:val="left"/>
            </w:pPr>
            <w:r>
              <w:rPr>
                <w:rFonts w:ascii="Calibri" w:hAnsi="Calibri" w:eastAsia="Calibri"/>
                <w:b w:val="0"/>
                <w:color w:val="1F2933"/>
                <w:sz w:val="17"/>
              </w:rPr>
              <w:t>Secure SDLC and supply chain</w:t>
            </w:r>
          </w:p>
        </w:tc>
        <w:tc>
          <w:tcPr>
            <w:tcW w:type="dxa" w:w="1450"/>
            <w:tcMar>
              <w:top w:w="90" w:type="dxa"/>
              <w:start w:w="120" w:type="dxa"/>
              <w:bottom w:w="90" w:type="dxa"/>
              <w:end w:w="120" w:type="dxa"/>
            </w:tcMar>
            <w:vAlign w:val="center"/>
          </w:tcPr>
          <w:p>
            <w:pPr>
              <w:pStyle w:val="TableText"/>
              <w:jc w:val="left"/>
            </w:pPr>
            <w:r>
              <w:rPr>
                <w:rFonts w:ascii="Calibri" w:hAnsi="Calibri" w:eastAsia="Calibri"/>
                <w:b w:val="0"/>
                <w:color w:val="1F2933"/>
                <w:sz w:val="17"/>
              </w:rPr>
              <w:t>CISO/Product</w:t>
            </w:r>
          </w:p>
        </w:tc>
        <w:tc>
          <w:tcPr>
            <w:tcW w:type="dxa" w:w="2550"/>
            <w:tcMar>
              <w:top w:w="90" w:type="dxa"/>
              <w:start w:w="120" w:type="dxa"/>
              <w:bottom w:w="90" w:type="dxa"/>
              <w:end w:w="120" w:type="dxa"/>
            </w:tcMar>
            <w:vAlign w:val="center"/>
          </w:tcPr>
          <w:p>
            <w:pPr>
              <w:pStyle w:val="TableText"/>
              <w:jc w:val="left"/>
            </w:pPr>
            <w:r>
              <w:rPr>
                <w:rFonts w:ascii="Calibri" w:hAnsi="Calibri" w:eastAsia="Calibri"/>
                <w:b w:val="0"/>
                <w:color w:val="1F2933"/>
                <w:sz w:val="17"/>
              </w:rPr>
              <w:t>SBOM, signing, scanning and patch SLA</w:t>
            </w:r>
          </w:p>
        </w:tc>
        <w:tc>
          <w:tcPr>
            <w:tcW w:type="dxa" w:w="2360"/>
            <w:tcMar>
              <w:top w:w="90" w:type="dxa"/>
              <w:start w:w="120" w:type="dxa"/>
              <w:bottom w:w="90" w:type="dxa"/>
              <w:end w:w="120" w:type="dxa"/>
            </w:tcMar>
            <w:vAlign w:val="center"/>
          </w:tcPr>
          <w:p>
            <w:pPr>
              <w:pStyle w:val="TableText"/>
              <w:jc w:val="left"/>
            </w:pPr>
            <w:r>
              <w:rPr>
                <w:rFonts w:ascii="Calibri" w:hAnsi="Calibri" w:eastAsia="Calibri"/>
                <w:b w:val="0"/>
                <w:color w:val="1F2933"/>
                <w:sz w:val="17"/>
              </w:rPr>
              <w:t>Release attestation</w:t>
            </w:r>
          </w:p>
        </w:tc>
      </w:tr>
      <w:tr>
        <w:trPr>
          <w:cantSplit w:val="true"/>
        </w:trPr>
        <w:tc>
          <w:tcPr>
            <w:tcW w:type="dxa" w:w="850"/>
            <w:tcMar>
              <w:top w:w="90" w:type="dxa"/>
              <w:start w:w="120" w:type="dxa"/>
              <w:bottom w:w="90" w:type="dxa"/>
              <w:end w:w="120" w:type="dxa"/>
            </w:tcMar>
            <w:vAlign w:val="center"/>
            <w:shd w:fill="F4F6F9"/>
          </w:tcPr>
          <w:p>
            <w:pPr>
              <w:pStyle w:val="TableText"/>
              <w:jc w:val="left"/>
            </w:pPr>
            <w:r>
              <w:rPr>
                <w:rFonts w:ascii="Calibri" w:hAnsi="Calibri" w:eastAsia="Calibri"/>
                <w:b w:val="0"/>
                <w:color w:val="1F2933"/>
                <w:sz w:val="17"/>
              </w:rPr>
              <w:t>SEC-02</w:t>
            </w:r>
          </w:p>
        </w:tc>
        <w:tc>
          <w:tcPr>
            <w:tcW w:type="dxa" w:w="2150"/>
            <w:tcMar>
              <w:top w:w="90" w:type="dxa"/>
              <w:start w:w="120" w:type="dxa"/>
              <w:bottom w:w="90" w:type="dxa"/>
              <w:end w:w="120" w:type="dxa"/>
            </w:tcMar>
            <w:vAlign w:val="center"/>
            <w:shd w:fill="F4F6F9"/>
          </w:tcPr>
          <w:p>
            <w:pPr>
              <w:pStyle w:val="TableText"/>
              <w:jc w:val="left"/>
            </w:pPr>
            <w:r>
              <w:rPr>
                <w:rFonts w:ascii="Calibri" w:hAnsi="Calibri" w:eastAsia="Calibri"/>
                <w:b w:val="0"/>
                <w:color w:val="1F2933"/>
                <w:sz w:val="17"/>
              </w:rPr>
              <w:t>SOC and incident response</w:t>
            </w:r>
          </w:p>
        </w:tc>
        <w:tc>
          <w:tcPr>
            <w:tcW w:type="dxa" w:w="1450"/>
            <w:tcMar>
              <w:top w:w="90" w:type="dxa"/>
              <w:start w:w="120" w:type="dxa"/>
              <w:bottom w:w="90" w:type="dxa"/>
              <w:end w:w="120" w:type="dxa"/>
            </w:tcMar>
            <w:vAlign w:val="center"/>
            <w:shd w:fill="F4F6F9"/>
          </w:tcPr>
          <w:p>
            <w:pPr>
              <w:pStyle w:val="TableText"/>
              <w:jc w:val="left"/>
            </w:pPr>
            <w:r>
              <w:rPr>
                <w:rFonts w:ascii="Calibri" w:hAnsi="Calibri" w:eastAsia="Calibri"/>
                <w:b w:val="0"/>
                <w:color w:val="1F2933"/>
                <w:sz w:val="17"/>
              </w:rPr>
              <w:t>National SOC</w:t>
            </w:r>
          </w:p>
        </w:tc>
        <w:tc>
          <w:tcPr>
            <w:tcW w:type="dxa" w:w="2550"/>
            <w:tcMar>
              <w:top w:w="90" w:type="dxa"/>
              <w:start w:w="120" w:type="dxa"/>
              <w:bottom w:w="90" w:type="dxa"/>
              <w:end w:w="120" w:type="dxa"/>
            </w:tcMar>
            <w:vAlign w:val="center"/>
            <w:shd w:fill="F4F6F9"/>
          </w:tcPr>
          <w:p>
            <w:pPr>
              <w:pStyle w:val="TableText"/>
              <w:jc w:val="left"/>
            </w:pPr>
            <w:r>
              <w:rPr>
                <w:rFonts w:ascii="Calibri" w:hAnsi="Calibri" w:eastAsia="Calibri"/>
                <w:b w:val="0"/>
                <w:color w:val="1F2933"/>
                <w:sz w:val="17"/>
              </w:rPr>
              <w:t>Detection rules and runbooks</w:t>
            </w:r>
          </w:p>
        </w:tc>
        <w:tc>
          <w:tcPr>
            <w:tcW w:type="dxa" w:w="2360"/>
            <w:tcMar>
              <w:top w:w="90" w:type="dxa"/>
              <w:start w:w="120" w:type="dxa"/>
              <w:bottom w:w="90" w:type="dxa"/>
              <w:end w:w="120" w:type="dxa"/>
            </w:tcMar>
            <w:vAlign w:val="center"/>
            <w:shd w:fill="F4F6F9"/>
          </w:tcPr>
          <w:p>
            <w:pPr>
              <w:pStyle w:val="TableText"/>
              <w:jc w:val="left"/>
            </w:pPr>
            <w:r>
              <w:rPr>
                <w:rFonts w:ascii="Calibri" w:hAnsi="Calibri" w:eastAsia="Calibri"/>
                <w:b w:val="0"/>
                <w:color w:val="1F2933"/>
                <w:sz w:val="17"/>
              </w:rPr>
              <w:t>Red-team/tabletop closure</w:t>
            </w:r>
          </w:p>
        </w:tc>
      </w:tr>
      <w:tr>
        <w:trPr>
          <w:cantSplit w:val="true"/>
        </w:trPr>
        <w:tc>
          <w:tcPr>
            <w:tcW w:type="dxa" w:w="850"/>
            <w:tcMar>
              <w:top w:w="90" w:type="dxa"/>
              <w:start w:w="120" w:type="dxa"/>
              <w:bottom w:w="90" w:type="dxa"/>
              <w:end w:w="120" w:type="dxa"/>
            </w:tcMar>
            <w:vAlign w:val="center"/>
          </w:tcPr>
          <w:p>
            <w:pPr>
              <w:pStyle w:val="TableText"/>
              <w:jc w:val="left"/>
            </w:pPr>
            <w:r>
              <w:rPr>
                <w:rFonts w:ascii="Calibri" w:hAnsi="Calibri" w:eastAsia="Calibri"/>
                <w:b w:val="0"/>
                <w:color w:val="1F2933"/>
                <w:sz w:val="17"/>
              </w:rPr>
              <w:t>PRIV-01</w:t>
            </w:r>
          </w:p>
        </w:tc>
        <w:tc>
          <w:tcPr>
            <w:tcW w:type="dxa" w:w="2150"/>
            <w:tcMar>
              <w:top w:w="90" w:type="dxa"/>
              <w:start w:w="120" w:type="dxa"/>
              <w:bottom w:w="90" w:type="dxa"/>
              <w:end w:w="120" w:type="dxa"/>
            </w:tcMar>
            <w:vAlign w:val="center"/>
          </w:tcPr>
          <w:p>
            <w:pPr>
              <w:pStyle w:val="TableText"/>
              <w:jc w:val="left"/>
            </w:pPr>
            <w:r>
              <w:rPr>
                <w:rFonts w:ascii="Calibri" w:hAnsi="Calibri" w:eastAsia="Calibri"/>
                <w:b w:val="0"/>
                <w:color w:val="1F2933"/>
                <w:sz w:val="17"/>
              </w:rPr>
              <w:t>DPIA and disclosure control</w:t>
            </w:r>
          </w:p>
        </w:tc>
        <w:tc>
          <w:tcPr>
            <w:tcW w:type="dxa" w:w="1450"/>
            <w:tcMar>
              <w:top w:w="90" w:type="dxa"/>
              <w:start w:w="120" w:type="dxa"/>
              <w:bottom w:w="90" w:type="dxa"/>
              <w:end w:w="120" w:type="dxa"/>
            </w:tcMar>
            <w:vAlign w:val="center"/>
          </w:tcPr>
          <w:p>
            <w:pPr>
              <w:pStyle w:val="TableText"/>
              <w:jc w:val="left"/>
            </w:pPr>
            <w:r>
              <w:rPr>
                <w:rFonts w:ascii="Calibri" w:hAnsi="Calibri" w:eastAsia="Calibri"/>
                <w:b w:val="0"/>
                <w:color w:val="1F2933"/>
                <w:sz w:val="17"/>
              </w:rPr>
              <w:t>Data Governance Board</w:t>
            </w:r>
          </w:p>
        </w:tc>
        <w:tc>
          <w:tcPr>
            <w:tcW w:type="dxa" w:w="2550"/>
            <w:tcMar>
              <w:top w:w="90" w:type="dxa"/>
              <w:start w:w="120" w:type="dxa"/>
              <w:bottom w:w="90" w:type="dxa"/>
              <w:end w:w="120" w:type="dxa"/>
            </w:tcMar>
            <w:vAlign w:val="center"/>
          </w:tcPr>
          <w:p>
            <w:pPr>
              <w:pStyle w:val="TableText"/>
              <w:jc w:val="left"/>
            </w:pPr>
            <w:r>
              <w:rPr>
                <w:rFonts w:ascii="Calibri" w:hAnsi="Calibri" w:eastAsia="Calibri"/>
                <w:b w:val="0"/>
                <w:color w:val="1F2933"/>
                <w:sz w:val="17"/>
              </w:rPr>
              <w:t>Zone/purpose controls and query policy</w:t>
            </w:r>
          </w:p>
        </w:tc>
        <w:tc>
          <w:tcPr>
            <w:tcW w:type="dxa" w:w="2360"/>
            <w:tcMar>
              <w:top w:w="90" w:type="dxa"/>
              <w:start w:w="120" w:type="dxa"/>
              <w:bottom w:w="90" w:type="dxa"/>
              <w:end w:w="120" w:type="dxa"/>
            </w:tcMar>
            <w:vAlign w:val="center"/>
          </w:tcPr>
          <w:p>
            <w:pPr>
              <w:pStyle w:val="TableText"/>
              <w:jc w:val="left"/>
            </w:pPr>
            <w:r>
              <w:rPr>
                <w:rFonts w:ascii="Calibri" w:hAnsi="Calibri" w:eastAsia="Calibri"/>
                <w:b w:val="0"/>
                <w:color w:val="1F2933"/>
                <w:sz w:val="17"/>
              </w:rPr>
              <w:t>Privacy test and audit</w:t>
            </w:r>
          </w:p>
        </w:tc>
      </w:tr>
      <w:tr>
        <w:trPr>
          <w:cantSplit w:val="true"/>
        </w:trPr>
        <w:tc>
          <w:tcPr>
            <w:tcW w:type="dxa" w:w="850"/>
            <w:tcMar>
              <w:top w:w="90" w:type="dxa"/>
              <w:start w:w="120" w:type="dxa"/>
              <w:bottom w:w="90" w:type="dxa"/>
              <w:end w:w="120" w:type="dxa"/>
            </w:tcMar>
            <w:vAlign w:val="center"/>
            <w:shd w:fill="F4F6F9"/>
          </w:tcPr>
          <w:p>
            <w:pPr>
              <w:pStyle w:val="TableText"/>
              <w:jc w:val="left"/>
            </w:pPr>
            <w:r>
              <w:rPr>
                <w:rFonts w:ascii="Calibri" w:hAnsi="Calibri" w:eastAsia="Calibri"/>
                <w:b w:val="0"/>
                <w:color w:val="1F2933"/>
                <w:sz w:val="17"/>
              </w:rPr>
              <w:t>OPS-01</w:t>
            </w:r>
          </w:p>
        </w:tc>
        <w:tc>
          <w:tcPr>
            <w:tcW w:type="dxa" w:w="2150"/>
            <w:tcMar>
              <w:top w:w="90" w:type="dxa"/>
              <w:start w:w="120" w:type="dxa"/>
              <w:bottom w:w="90" w:type="dxa"/>
              <w:end w:w="120" w:type="dxa"/>
            </w:tcMar>
            <w:vAlign w:val="center"/>
            <w:shd w:fill="F4F6F9"/>
          </w:tcPr>
          <w:p>
            <w:pPr>
              <w:pStyle w:val="TableText"/>
              <w:jc w:val="left"/>
            </w:pPr>
            <w:r>
              <w:rPr>
                <w:rFonts w:ascii="Calibri" w:hAnsi="Calibri" w:eastAsia="Calibri"/>
                <w:b w:val="0"/>
                <w:color w:val="1F2933"/>
                <w:sz w:val="17"/>
              </w:rPr>
              <w:t>Production platform and DR</w:t>
            </w:r>
          </w:p>
        </w:tc>
        <w:tc>
          <w:tcPr>
            <w:tcW w:type="dxa" w:w="1450"/>
            <w:tcMar>
              <w:top w:w="90" w:type="dxa"/>
              <w:start w:w="120" w:type="dxa"/>
              <w:bottom w:w="90" w:type="dxa"/>
              <w:end w:w="120" w:type="dxa"/>
            </w:tcMar>
            <w:vAlign w:val="center"/>
            <w:shd w:fill="F4F6F9"/>
          </w:tcPr>
          <w:p>
            <w:pPr>
              <w:pStyle w:val="TableText"/>
              <w:jc w:val="left"/>
            </w:pPr>
            <w:r>
              <w:rPr>
                <w:rFonts w:ascii="Calibri" w:hAnsi="Calibri" w:eastAsia="Calibri"/>
                <w:b w:val="0"/>
                <w:color w:val="1F2933"/>
                <w:sz w:val="17"/>
              </w:rPr>
              <w:t>SRE</w:t>
            </w:r>
          </w:p>
        </w:tc>
        <w:tc>
          <w:tcPr>
            <w:tcW w:type="dxa" w:w="2550"/>
            <w:tcMar>
              <w:top w:w="90" w:type="dxa"/>
              <w:start w:w="120" w:type="dxa"/>
              <w:bottom w:w="90" w:type="dxa"/>
              <w:end w:w="120" w:type="dxa"/>
            </w:tcMar>
            <w:vAlign w:val="center"/>
            <w:shd w:fill="F4F6F9"/>
          </w:tcPr>
          <w:p>
            <w:pPr>
              <w:pStyle w:val="TableText"/>
              <w:jc w:val="left"/>
            </w:pPr>
            <w:r>
              <w:rPr>
                <w:rFonts w:ascii="Calibri" w:hAnsi="Calibri" w:eastAsia="Calibri"/>
                <w:b w:val="0"/>
                <w:color w:val="1F2933"/>
                <w:sz w:val="17"/>
              </w:rPr>
              <w:t>HA deployment, backups and DR</w:t>
            </w:r>
          </w:p>
        </w:tc>
        <w:tc>
          <w:tcPr>
            <w:tcW w:type="dxa" w:w="2360"/>
            <w:tcMar>
              <w:top w:w="90" w:type="dxa"/>
              <w:start w:w="120" w:type="dxa"/>
              <w:bottom w:w="90" w:type="dxa"/>
              <w:end w:w="120" w:type="dxa"/>
            </w:tcMar>
            <w:vAlign w:val="center"/>
            <w:shd w:fill="F4F6F9"/>
          </w:tcPr>
          <w:p>
            <w:pPr>
              <w:pStyle w:val="TableText"/>
              <w:jc w:val="left"/>
            </w:pPr>
            <w:r>
              <w:rPr>
                <w:rFonts w:ascii="Calibri" w:hAnsi="Calibri" w:eastAsia="Calibri"/>
                <w:b w:val="0"/>
                <w:color w:val="1F2933"/>
                <w:sz w:val="17"/>
              </w:rPr>
              <w:t>RPO/RTO drill</w:t>
            </w:r>
          </w:p>
        </w:tc>
      </w:tr>
      <w:tr>
        <w:trPr>
          <w:cantSplit w:val="true"/>
        </w:trPr>
        <w:tc>
          <w:tcPr>
            <w:tcW w:type="dxa" w:w="850"/>
            <w:tcMar>
              <w:top w:w="90" w:type="dxa"/>
              <w:start w:w="120" w:type="dxa"/>
              <w:bottom w:w="90" w:type="dxa"/>
              <w:end w:w="120" w:type="dxa"/>
            </w:tcMar>
            <w:vAlign w:val="center"/>
          </w:tcPr>
          <w:p>
            <w:pPr>
              <w:pStyle w:val="TableText"/>
              <w:jc w:val="left"/>
            </w:pPr>
            <w:r>
              <w:rPr>
                <w:rFonts w:ascii="Calibri" w:hAnsi="Calibri" w:eastAsia="Calibri"/>
                <w:b w:val="0"/>
                <w:color w:val="1F2933"/>
                <w:sz w:val="17"/>
              </w:rPr>
              <w:t>OPS-02</w:t>
            </w:r>
          </w:p>
        </w:tc>
        <w:tc>
          <w:tcPr>
            <w:tcW w:type="dxa" w:w="2150"/>
            <w:tcMar>
              <w:top w:w="90" w:type="dxa"/>
              <w:start w:w="120" w:type="dxa"/>
              <w:bottom w:w="90" w:type="dxa"/>
              <w:end w:w="120" w:type="dxa"/>
            </w:tcMar>
            <w:vAlign w:val="center"/>
          </w:tcPr>
          <w:p>
            <w:pPr>
              <w:pStyle w:val="TableText"/>
              <w:jc w:val="left"/>
            </w:pPr>
            <w:r>
              <w:rPr>
                <w:rFonts w:ascii="Calibri" w:hAnsi="Calibri" w:eastAsia="Calibri"/>
                <w:b w:val="0"/>
                <w:color w:val="1F2933"/>
                <w:sz w:val="17"/>
              </w:rPr>
              <w:t>Help desk and field support</w:t>
            </w:r>
          </w:p>
        </w:tc>
        <w:tc>
          <w:tcPr>
            <w:tcW w:type="dxa" w:w="1450"/>
            <w:tcMar>
              <w:top w:w="90" w:type="dxa"/>
              <w:start w:w="120" w:type="dxa"/>
              <w:bottom w:w="90" w:type="dxa"/>
              <w:end w:w="120" w:type="dxa"/>
            </w:tcMar>
            <w:vAlign w:val="center"/>
          </w:tcPr>
          <w:p>
            <w:pPr>
              <w:pStyle w:val="TableText"/>
              <w:jc w:val="left"/>
            </w:pPr>
            <w:r>
              <w:rPr>
                <w:rFonts w:ascii="Calibri" w:hAnsi="Calibri" w:eastAsia="Calibri"/>
                <w:b w:val="0"/>
                <w:color w:val="1F2933"/>
                <w:sz w:val="17"/>
              </w:rPr>
              <w:t>Programme operations</w:t>
            </w:r>
          </w:p>
        </w:tc>
        <w:tc>
          <w:tcPr>
            <w:tcW w:type="dxa" w:w="2550"/>
            <w:tcMar>
              <w:top w:w="90" w:type="dxa"/>
              <w:start w:w="120" w:type="dxa"/>
              <w:bottom w:w="90" w:type="dxa"/>
              <w:end w:w="120" w:type="dxa"/>
            </w:tcMar>
            <w:vAlign w:val="center"/>
          </w:tcPr>
          <w:p>
            <w:pPr>
              <w:pStyle w:val="TableText"/>
              <w:jc w:val="left"/>
            </w:pPr>
            <w:r>
              <w:rPr>
                <w:rFonts w:ascii="Calibri" w:hAnsi="Calibri" w:eastAsia="Calibri"/>
                <w:b w:val="0"/>
                <w:color w:val="1F2933"/>
                <w:sz w:val="17"/>
              </w:rPr>
              <w:t>Tiered support and SLAs</w:t>
            </w:r>
          </w:p>
        </w:tc>
        <w:tc>
          <w:tcPr>
            <w:tcW w:type="dxa" w:w="2360"/>
            <w:tcMar>
              <w:top w:w="90" w:type="dxa"/>
              <w:start w:w="120" w:type="dxa"/>
              <w:bottom w:w="90" w:type="dxa"/>
              <w:end w:w="120" w:type="dxa"/>
            </w:tcMar>
            <w:vAlign w:val="center"/>
          </w:tcPr>
          <w:p>
            <w:pPr>
              <w:pStyle w:val="TableText"/>
              <w:jc w:val="left"/>
            </w:pPr>
            <w:r>
              <w:rPr>
                <w:rFonts w:ascii="Calibri" w:hAnsi="Calibri" w:eastAsia="Calibri"/>
                <w:b w:val="0"/>
                <w:color w:val="1F2933"/>
                <w:sz w:val="17"/>
              </w:rPr>
              <w:t>Ticket resolution and satisfaction targets</w:t>
            </w:r>
          </w:p>
        </w:tc>
      </w:tr>
      <w:tr>
        <w:trPr>
          <w:cantSplit w:val="true"/>
        </w:trPr>
        <w:tc>
          <w:tcPr>
            <w:tcW w:type="dxa" w:w="850"/>
            <w:tcMar>
              <w:top w:w="90" w:type="dxa"/>
              <w:start w:w="120" w:type="dxa"/>
              <w:bottom w:w="90" w:type="dxa"/>
              <w:end w:w="120" w:type="dxa"/>
            </w:tcMar>
            <w:vAlign w:val="center"/>
            <w:shd w:fill="F4F6F9"/>
          </w:tcPr>
          <w:p>
            <w:pPr>
              <w:pStyle w:val="TableText"/>
              <w:jc w:val="left"/>
            </w:pPr>
            <w:r>
              <w:rPr>
                <w:rFonts w:ascii="Calibri" w:hAnsi="Calibri" w:eastAsia="Calibri"/>
                <w:b w:val="0"/>
                <w:color w:val="1F2933"/>
                <w:sz w:val="17"/>
              </w:rPr>
              <w:t>ADP-01</w:t>
            </w:r>
          </w:p>
        </w:tc>
        <w:tc>
          <w:tcPr>
            <w:tcW w:type="dxa" w:w="2150"/>
            <w:tcMar>
              <w:top w:w="90" w:type="dxa"/>
              <w:start w:w="120" w:type="dxa"/>
              <w:bottom w:w="90" w:type="dxa"/>
              <w:end w:w="120" w:type="dxa"/>
            </w:tcMar>
            <w:vAlign w:val="center"/>
            <w:shd w:fill="F4F6F9"/>
          </w:tcPr>
          <w:p>
            <w:pPr>
              <w:pStyle w:val="TableText"/>
              <w:jc w:val="left"/>
            </w:pPr>
            <w:r>
              <w:rPr>
                <w:rFonts w:ascii="Calibri" w:hAnsi="Calibri" w:eastAsia="Calibri"/>
                <w:b w:val="0"/>
                <w:color w:val="1F2933"/>
                <w:sz w:val="17"/>
              </w:rPr>
              <w:t>Training and certification</w:t>
            </w:r>
          </w:p>
        </w:tc>
        <w:tc>
          <w:tcPr>
            <w:tcW w:type="dxa" w:w="1450"/>
            <w:tcMar>
              <w:top w:w="90" w:type="dxa"/>
              <w:start w:w="120" w:type="dxa"/>
              <w:bottom w:w="90" w:type="dxa"/>
              <w:end w:w="120" w:type="dxa"/>
            </w:tcMar>
            <w:vAlign w:val="center"/>
            <w:shd w:fill="F4F6F9"/>
          </w:tcPr>
          <w:p>
            <w:pPr>
              <w:pStyle w:val="TableText"/>
              <w:jc w:val="left"/>
            </w:pPr>
            <w:r>
              <w:rPr>
                <w:rFonts w:ascii="Calibri" w:hAnsi="Calibri" w:eastAsia="Calibri"/>
                <w:b w:val="0"/>
                <w:color w:val="1F2933"/>
                <w:sz w:val="17"/>
              </w:rPr>
              <w:t>NIOH/NIHFW/sector institutes</w:t>
            </w:r>
          </w:p>
        </w:tc>
        <w:tc>
          <w:tcPr>
            <w:tcW w:type="dxa" w:w="2550"/>
            <w:tcMar>
              <w:top w:w="90" w:type="dxa"/>
              <w:start w:w="120" w:type="dxa"/>
              <w:bottom w:w="90" w:type="dxa"/>
              <w:end w:w="120" w:type="dxa"/>
            </w:tcMar>
            <w:vAlign w:val="center"/>
            <w:shd w:fill="F4F6F9"/>
          </w:tcPr>
          <w:p>
            <w:pPr>
              <w:pStyle w:val="TableText"/>
              <w:jc w:val="left"/>
            </w:pPr>
            <w:r>
              <w:rPr>
                <w:rFonts w:ascii="Calibri" w:hAnsi="Calibri" w:eastAsia="Calibri"/>
                <w:b w:val="0"/>
                <w:color w:val="1F2933"/>
                <w:sz w:val="17"/>
              </w:rPr>
              <w:t>Role-based curricula and LMS</w:t>
            </w:r>
          </w:p>
        </w:tc>
        <w:tc>
          <w:tcPr>
            <w:tcW w:type="dxa" w:w="2360"/>
            <w:tcMar>
              <w:top w:w="90" w:type="dxa"/>
              <w:start w:w="120" w:type="dxa"/>
              <w:bottom w:w="90" w:type="dxa"/>
              <w:end w:w="120" w:type="dxa"/>
            </w:tcMar>
            <w:vAlign w:val="center"/>
            <w:shd w:fill="F4F6F9"/>
          </w:tcPr>
          <w:p>
            <w:pPr>
              <w:pStyle w:val="TableText"/>
              <w:jc w:val="left"/>
            </w:pPr>
            <w:r>
              <w:rPr>
                <w:rFonts w:ascii="Calibri" w:hAnsi="Calibri" w:eastAsia="Calibri"/>
                <w:b w:val="0"/>
                <w:color w:val="1F2933"/>
                <w:sz w:val="17"/>
              </w:rPr>
              <w:t>Competency assessment</w:t>
            </w:r>
          </w:p>
        </w:tc>
      </w:tr>
      <w:tr>
        <w:trPr>
          <w:cantSplit w:val="true"/>
        </w:trPr>
        <w:tc>
          <w:tcPr>
            <w:tcW w:type="dxa" w:w="850"/>
            <w:tcMar>
              <w:top w:w="90" w:type="dxa"/>
              <w:start w:w="120" w:type="dxa"/>
              <w:bottom w:w="90" w:type="dxa"/>
              <w:end w:w="120" w:type="dxa"/>
            </w:tcMar>
            <w:vAlign w:val="center"/>
          </w:tcPr>
          <w:p>
            <w:pPr>
              <w:pStyle w:val="TableText"/>
              <w:jc w:val="left"/>
            </w:pPr>
            <w:r>
              <w:rPr>
                <w:rFonts w:ascii="Calibri" w:hAnsi="Calibri" w:eastAsia="Calibri"/>
                <w:b w:val="0"/>
                <w:color w:val="1F2933"/>
                <w:sz w:val="17"/>
              </w:rPr>
              <w:t>ADP-02</w:t>
            </w:r>
          </w:p>
        </w:tc>
        <w:tc>
          <w:tcPr>
            <w:tcW w:type="dxa" w:w="2150"/>
            <w:tcMar>
              <w:top w:w="90" w:type="dxa"/>
              <w:start w:w="120" w:type="dxa"/>
              <w:bottom w:w="90" w:type="dxa"/>
              <w:end w:w="120" w:type="dxa"/>
            </w:tcMar>
            <w:vAlign w:val="center"/>
          </w:tcPr>
          <w:p>
            <w:pPr>
              <w:pStyle w:val="TableText"/>
              <w:jc w:val="left"/>
            </w:pPr>
            <w:r>
              <w:rPr>
                <w:rFonts w:ascii="Calibri" w:hAnsi="Calibri" w:eastAsia="Calibri"/>
                <w:b w:val="0"/>
                <w:color w:val="1F2933"/>
                <w:sz w:val="17"/>
              </w:rPr>
              <w:t>State onboarding factory</w:t>
            </w:r>
          </w:p>
        </w:tc>
        <w:tc>
          <w:tcPr>
            <w:tcW w:type="dxa" w:w="1450"/>
            <w:tcMar>
              <w:top w:w="90" w:type="dxa"/>
              <w:start w:w="120" w:type="dxa"/>
              <w:bottom w:w="90" w:type="dxa"/>
              <w:end w:w="120" w:type="dxa"/>
            </w:tcMar>
            <w:vAlign w:val="center"/>
          </w:tcPr>
          <w:p>
            <w:pPr>
              <w:pStyle w:val="TableText"/>
              <w:jc w:val="left"/>
            </w:pPr>
            <w:r>
              <w:rPr>
                <w:rFonts w:ascii="Calibri" w:hAnsi="Calibri" w:eastAsia="Calibri"/>
                <w:b w:val="0"/>
                <w:color w:val="1F2933"/>
                <w:sz w:val="17"/>
              </w:rPr>
              <w:t>Mission Unit</w:t>
            </w:r>
          </w:p>
        </w:tc>
        <w:tc>
          <w:tcPr>
            <w:tcW w:type="dxa" w:w="2550"/>
            <w:tcMar>
              <w:top w:w="90" w:type="dxa"/>
              <w:start w:w="120" w:type="dxa"/>
              <w:bottom w:w="90" w:type="dxa"/>
              <w:end w:w="120" w:type="dxa"/>
            </w:tcMar>
            <w:vAlign w:val="center"/>
          </w:tcPr>
          <w:p>
            <w:pPr>
              <w:pStyle w:val="TableText"/>
              <w:jc w:val="left"/>
            </w:pPr>
            <w:r>
              <w:rPr>
                <w:rFonts w:ascii="Calibri" w:hAnsi="Calibri" w:eastAsia="Calibri"/>
                <w:b w:val="0"/>
                <w:color w:val="1F2933"/>
                <w:sz w:val="17"/>
              </w:rPr>
              <w:t>Readiness, install, verify, certify</w:t>
            </w:r>
          </w:p>
        </w:tc>
        <w:tc>
          <w:tcPr>
            <w:tcW w:type="dxa" w:w="2360"/>
            <w:tcMar>
              <w:top w:w="90" w:type="dxa"/>
              <w:start w:w="120" w:type="dxa"/>
              <w:bottom w:w="90" w:type="dxa"/>
              <w:end w:w="120" w:type="dxa"/>
            </w:tcMar>
            <w:vAlign w:val="center"/>
          </w:tcPr>
          <w:p>
            <w:pPr>
              <w:pStyle w:val="TableText"/>
              <w:jc w:val="left"/>
            </w:pPr>
            <w:r>
              <w:rPr>
                <w:rFonts w:ascii="Calibri" w:hAnsi="Calibri" w:eastAsia="Calibri"/>
                <w:b w:val="0"/>
                <w:color w:val="1F2933"/>
                <w:sz w:val="17"/>
              </w:rPr>
              <w:t>Repeatable onboarding lead time</w:t>
            </w:r>
          </w:p>
        </w:tc>
      </w:tr>
      <w:tr>
        <w:trPr>
          <w:cantSplit w:val="true"/>
        </w:trPr>
        <w:tc>
          <w:tcPr>
            <w:tcW w:type="dxa" w:w="850"/>
            <w:tcMar>
              <w:top w:w="90" w:type="dxa"/>
              <w:start w:w="120" w:type="dxa"/>
              <w:bottom w:w="90" w:type="dxa"/>
              <w:end w:w="120" w:type="dxa"/>
            </w:tcMar>
            <w:vAlign w:val="center"/>
            <w:shd w:fill="F4F6F9"/>
          </w:tcPr>
          <w:p>
            <w:pPr>
              <w:pStyle w:val="TableText"/>
              <w:jc w:val="left"/>
            </w:pPr>
            <w:r>
              <w:rPr>
                <w:rFonts w:ascii="Calibri" w:hAnsi="Calibri" w:eastAsia="Calibri"/>
                <w:b w:val="0"/>
                <w:color w:val="1F2933"/>
                <w:sz w:val="17"/>
              </w:rPr>
              <w:t>MEL-01</w:t>
            </w:r>
          </w:p>
        </w:tc>
        <w:tc>
          <w:tcPr>
            <w:tcW w:type="dxa" w:w="2150"/>
            <w:tcMar>
              <w:top w:w="90" w:type="dxa"/>
              <w:start w:w="120" w:type="dxa"/>
              <w:bottom w:w="90" w:type="dxa"/>
              <w:end w:w="120" w:type="dxa"/>
            </w:tcMar>
            <w:vAlign w:val="center"/>
            <w:shd w:fill="F4F6F9"/>
          </w:tcPr>
          <w:p>
            <w:pPr>
              <w:pStyle w:val="TableText"/>
              <w:jc w:val="left"/>
            </w:pPr>
            <w:r>
              <w:rPr>
                <w:rFonts w:ascii="Calibri" w:hAnsi="Calibri" w:eastAsia="Calibri"/>
                <w:b w:val="0"/>
                <w:color w:val="1F2933"/>
                <w:sz w:val="17"/>
              </w:rPr>
              <w:t>Baseline and benefits evaluation</w:t>
            </w:r>
          </w:p>
        </w:tc>
        <w:tc>
          <w:tcPr>
            <w:tcW w:type="dxa" w:w="1450"/>
            <w:tcMar>
              <w:top w:w="90" w:type="dxa"/>
              <w:start w:w="120" w:type="dxa"/>
              <w:bottom w:w="90" w:type="dxa"/>
              <w:end w:w="120" w:type="dxa"/>
            </w:tcMar>
            <w:vAlign w:val="center"/>
            <w:shd w:fill="F4F6F9"/>
          </w:tcPr>
          <w:p>
            <w:pPr>
              <w:pStyle w:val="TableText"/>
              <w:jc w:val="left"/>
            </w:pPr>
            <w:r>
              <w:rPr>
                <w:rFonts w:ascii="Calibri" w:hAnsi="Calibri" w:eastAsia="Calibri"/>
                <w:b w:val="0"/>
                <w:color w:val="1F2933"/>
                <w:sz w:val="17"/>
              </w:rPr>
              <w:t>Independent M&amp;E partner</w:t>
            </w:r>
          </w:p>
        </w:tc>
        <w:tc>
          <w:tcPr>
            <w:tcW w:type="dxa" w:w="2550"/>
            <w:tcMar>
              <w:top w:w="90" w:type="dxa"/>
              <w:start w:w="120" w:type="dxa"/>
              <w:bottom w:w="90" w:type="dxa"/>
              <w:end w:w="120" w:type="dxa"/>
            </w:tcMar>
            <w:vAlign w:val="center"/>
            <w:shd w:fill="F4F6F9"/>
          </w:tcPr>
          <w:p>
            <w:pPr>
              <w:pStyle w:val="TableText"/>
              <w:jc w:val="left"/>
            </w:pPr>
            <w:r>
              <w:rPr>
                <w:rFonts w:ascii="Calibri" w:hAnsi="Calibri" w:eastAsia="Calibri"/>
                <w:b w:val="0"/>
                <w:color w:val="1F2933"/>
                <w:sz w:val="17"/>
              </w:rPr>
              <w:t>Baseline, midline and endline</w:t>
            </w:r>
          </w:p>
        </w:tc>
        <w:tc>
          <w:tcPr>
            <w:tcW w:type="dxa" w:w="2360"/>
            <w:tcMar>
              <w:top w:w="90" w:type="dxa"/>
              <w:start w:w="120" w:type="dxa"/>
              <w:bottom w:w="90" w:type="dxa"/>
              <w:end w:w="120" w:type="dxa"/>
            </w:tcMar>
            <w:vAlign w:val="center"/>
            <w:shd w:fill="F4F6F9"/>
          </w:tcPr>
          <w:p>
            <w:pPr>
              <w:pStyle w:val="TableText"/>
              <w:jc w:val="left"/>
            </w:pPr>
            <w:r>
              <w:rPr>
                <w:rFonts w:ascii="Calibri" w:hAnsi="Calibri" w:eastAsia="Calibri"/>
                <w:b w:val="0"/>
                <w:color w:val="1F2933"/>
                <w:sz w:val="17"/>
              </w:rPr>
              <w:t>Published evaluation reports</w:t>
            </w:r>
          </w:p>
        </w:tc>
      </w:tr>
    </w:tbl>
    <w:p>
      <w:pPr>
        <w:spacing w:after="40"/>
      </w:pPr>
    </w:p>
    <w:p>
      <w:pPr>
        <w:pStyle w:val="Heading1"/>
      </w:pPr>
      <w:r>
        <w:rPr>
          <w:rFonts w:ascii="Calibri" w:hAnsi="Calibri" w:eastAsia="Calibri"/>
          <w:b/>
          <w:color w:val="2E74B5"/>
          <w:sz w:val="32"/>
        </w:rPr>
        <w:t>11. Testing and assurance strategy</w:t>
      </w:r>
    </w:p>
    <w:p>
      <w:pPr>
        <w:pStyle w:val="Heading2"/>
      </w:pPr>
      <w:r>
        <w:rPr>
          <w:rFonts w:ascii="Calibri" w:hAnsi="Calibri" w:eastAsia="Calibri"/>
          <w:b/>
          <w:color w:val="2E74B5"/>
          <w:sz w:val="26"/>
        </w:rPr>
        <w:t>11.1 Test pyramid</w:t>
      </w:r>
    </w:p>
    <w:p>
      <w:pPr>
        <w:jc w:val="left"/>
        <w:numPr>
          <w:ilvl w:val="0"/>
          <w:numId w:val="10"/>
        </w:numPr>
      </w:pPr>
      <w:r>
        <w:rPr>
          <w:rFonts w:ascii="Calibri" w:hAnsi="Calibri" w:eastAsia="Calibri"/>
          <w:b w:val="0"/>
          <w:color w:val="1F2933"/>
        </w:rPr>
        <w:t>Unit tests for every calculation, validation, mapping and permission rule.</w:t>
      </w:r>
    </w:p>
    <w:p>
      <w:pPr>
        <w:jc w:val="left"/>
        <w:numPr>
          <w:ilvl w:val="0"/>
          <w:numId w:val="10"/>
        </w:numPr>
      </w:pPr>
      <w:r>
        <w:rPr>
          <w:rFonts w:ascii="Calibri" w:hAnsi="Calibri" w:eastAsia="Calibri"/>
          <w:b w:val="0"/>
          <w:color w:val="1F2933"/>
        </w:rPr>
        <w:t>Contract tests for every API/schema/terminology version.</w:t>
      </w:r>
    </w:p>
    <w:p>
      <w:pPr>
        <w:jc w:val="left"/>
        <w:numPr>
          <w:ilvl w:val="0"/>
          <w:numId w:val="10"/>
        </w:numPr>
      </w:pPr>
      <w:r>
        <w:rPr>
          <w:rFonts w:ascii="Calibri" w:hAnsi="Calibri" w:eastAsia="Calibri"/>
          <w:b w:val="0"/>
          <w:color w:val="1F2933"/>
        </w:rPr>
        <w:t>Golden datasets covering common and rare organisms, MIC/zone edge cases, revised breakpoints and missing data.</w:t>
      </w:r>
    </w:p>
    <w:p>
      <w:pPr>
        <w:jc w:val="left"/>
        <w:numPr>
          <w:ilvl w:val="0"/>
          <w:numId w:val="10"/>
        </w:numPr>
      </w:pPr>
      <w:r>
        <w:rPr>
          <w:rFonts w:ascii="Calibri" w:hAnsi="Calibri" w:eastAsia="Calibri"/>
          <w:b w:val="0"/>
          <w:color w:val="1F2933"/>
        </w:rPr>
        <w:t>Property-based tests for deduplication, suppression and filter combinations.</w:t>
      </w:r>
    </w:p>
    <w:p>
      <w:pPr>
        <w:jc w:val="left"/>
        <w:numPr>
          <w:ilvl w:val="0"/>
          <w:numId w:val="10"/>
        </w:numPr>
      </w:pPr>
      <w:r>
        <w:rPr>
          <w:rFonts w:ascii="Calibri" w:hAnsi="Calibri" w:eastAsia="Calibri"/>
          <w:b w:val="0"/>
          <w:color w:val="1F2933"/>
        </w:rPr>
        <w:t>Cross-implementation concordance tests between edge, central and official reporting outputs.</w:t>
      </w:r>
    </w:p>
    <w:p>
      <w:pPr>
        <w:jc w:val="left"/>
        <w:numPr>
          <w:ilvl w:val="0"/>
          <w:numId w:val="10"/>
        </w:numPr>
      </w:pPr>
      <w:r>
        <w:rPr>
          <w:rFonts w:ascii="Calibri" w:hAnsi="Calibri" w:eastAsia="Calibri"/>
          <w:b w:val="0"/>
          <w:color w:val="1F2933"/>
        </w:rPr>
        <w:t>Migration, backup/restore, offline replay and duplicate-delivery tests.</w:t>
      </w:r>
    </w:p>
    <w:p>
      <w:pPr>
        <w:jc w:val="left"/>
        <w:numPr>
          <w:ilvl w:val="0"/>
          <w:numId w:val="10"/>
        </w:numPr>
      </w:pPr>
      <w:r>
        <w:rPr>
          <w:rFonts w:ascii="Calibri" w:hAnsi="Calibri" w:eastAsia="Calibri"/>
          <w:b w:val="0"/>
          <w:color w:val="1F2933"/>
        </w:rPr>
        <w:t>Security tests: SAST, DAST, dependency/container scanning, secrets detection, fuzzing, VAPT and red team.</w:t>
      </w:r>
    </w:p>
    <w:p>
      <w:pPr>
        <w:jc w:val="left"/>
        <w:numPr>
          <w:ilvl w:val="0"/>
          <w:numId w:val="10"/>
        </w:numPr>
      </w:pPr>
      <w:r>
        <w:rPr>
          <w:rFonts w:ascii="Calibri" w:hAnsi="Calibri" w:eastAsia="Calibri"/>
          <w:b w:val="0"/>
          <w:color w:val="1F2933"/>
        </w:rPr>
        <w:t>Performance tests using realistic site latency, connectivity gaps and burst schedules.</w:t>
      </w:r>
    </w:p>
    <w:p>
      <w:pPr>
        <w:jc w:val="left"/>
        <w:numPr>
          <w:ilvl w:val="0"/>
          <w:numId w:val="10"/>
        </w:numPr>
      </w:pPr>
      <w:r>
        <w:rPr>
          <w:rFonts w:ascii="Calibri" w:hAnsi="Calibri" w:eastAsia="Calibri"/>
          <w:b w:val="0"/>
          <w:color w:val="1F2933"/>
        </w:rPr>
        <w:t>Accessibility, multilingual, usability and low-literacy field tests.</w:t>
      </w:r>
    </w:p>
    <w:p>
      <w:pPr>
        <w:jc w:val="left"/>
        <w:numPr>
          <w:ilvl w:val="0"/>
          <w:numId w:val="10"/>
        </w:numPr>
      </w:pPr>
      <w:r>
        <w:rPr>
          <w:rFonts w:ascii="Calibri" w:hAnsi="Calibri" w:eastAsia="Calibri"/>
          <w:b w:val="0"/>
          <w:color w:val="1F2933"/>
        </w:rPr>
        <w:t>Epidemiological validation and independent methods review.</w:t>
      </w:r>
    </w:p>
    <w:p>
      <w:pPr>
        <w:jc w:val="left"/>
        <w:numPr>
          <w:ilvl w:val="0"/>
          <w:numId w:val="10"/>
        </w:numPr>
      </w:pPr>
      <w:r>
        <w:rPr>
          <w:rFonts w:ascii="Calibri" w:hAnsi="Calibri" w:eastAsia="Calibri"/>
          <w:b w:val="0"/>
          <w:color w:val="1F2933"/>
        </w:rPr>
        <w:t>Operational exercises for outbreak, compromised device, central outage and bad terminology update.</w:t>
      </w:r>
    </w:p>
    <w:p>
      <w:pPr>
        <w:pStyle w:val="Heading2"/>
      </w:pPr>
      <w:r>
        <w:rPr>
          <w:rFonts w:ascii="Calibri" w:hAnsi="Calibri" w:eastAsia="Calibri"/>
          <w:b/>
          <w:color w:val="2E74B5"/>
          <w:sz w:val="26"/>
        </w:rPr>
        <w:t>11.2 Release gates</w:t>
      </w:r>
    </w:p>
    <w:p>
      <w:r>
        <w:rPr>
          <w:rFonts w:ascii="Calibri" w:hAnsi="Calibri" w:eastAsia="Calibri"/>
          <w:b w:val="0"/>
          <w:color w:val="1F2933"/>
        </w:rPr>
        <w:t>No production release without:</w:t>
      </w:r>
    </w:p>
    <w:p>
      <w:pPr>
        <w:jc w:val="left"/>
        <w:numPr>
          <w:ilvl w:val="0"/>
          <w:numId w:val="10"/>
        </w:numPr>
      </w:pPr>
      <w:r>
        <w:rPr>
          <w:rFonts w:ascii="Calibri" w:hAnsi="Calibri" w:eastAsia="Calibri"/>
          <w:b w:val="0"/>
          <w:color w:val="1F2933"/>
        </w:rPr>
        <w:t>Approved requirements and architecture decision.</w:t>
      </w:r>
    </w:p>
    <w:p>
      <w:pPr>
        <w:jc w:val="left"/>
        <w:numPr>
          <w:ilvl w:val="0"/>
          <w:numId w:val="10"/>
        </w:numPr>
      </w:pPr>
      <w:r>
        <w:rPr>
          <w:rFonts w:ascii="Calibri" w:hAnsi="Calibri" w:eastAsia="Calibri"/>
          <w:b w:val="0"/>
          <w:color w:val="1F2933"/>
        </w:rPr>
        <w:t>Threat model and privacy impact review.</w:t>
      </w:r>
    </w:p>
    <w:p>
      <w:pPr>
        <w:jc w:val="left"/>
        <w:numPr>
          <w:ilvl w:val="0"/>
          <w:numId w:val="10"/>
        </w:numPr>
      </w:pPr>
      <w:r>
        <w:rPr>
          <w:rFonts w:ascii="Calibri" w:hAnsi="Calibri" w:eastAsia="Calibri"/>
          <w:b w:val="0"/>
          <w:color w:val="1F2933"/>
        </w:rPr>
        <w:t>Complete automated regression and conformance tests.</w:t>
      </w:r>
    </w:p>
    <w:p>
      <w:pPr>
        <w:jc w:val="left"/>
        <w:numPr>
          <w:ilvl w:val="0"/>
          <w:numId w:val="10"/>
        </w:numPr>
      </w:pPr>
      <w:r>
        <w:rPr>
          <w:rFonts w:ascii="Calibri" w:hAnsi="Calibri" w:eastAsia="Calibri"/>
          <w:b w:val="0"/>
          <w:color w:val="1F2933"/>
        </w:rPr>
        <w:t>Migration/rollback and support runbook.</w:t>
      </w:r>
    </w:p>
    <w:p>
      <w:pPr>
        <w:jc w:val="left"/>
        <w:numPr>
          <w:ilvl w:val="0"/>
          <w:numId w:val="10"/>
        </w:numPr>
      </w:pPr>
      <w:r>
        <w:rPr>
          <w:rFonts w:ascii="Calibri" w:hAnsi="Calibri" w:eastAsia="Calibri"/>
          <w:b w:val="0"/>
          <w:color w:val="1F2933"/>
        </w:rPr>
        <w:t>Training and release notes.</w:t>
      </w:r>
    </w:p>
    <w:p>
      <w:pPr>
        <w:jc w:val="left"/>
        <w:numPr>
          <w:ilvl w:val="0"/>
          <w:numId w:val="10"/>
        </w:numPr>
      </w:pPr>
      <w:r>
        <w:rPr>
          <w:rFonts w:ascii="Calibri" w:hAnsi="Calibri" w:eastAsia="Calibri"/>
          <w:b w:val="0"/>
          <w:color w:val="1F2933"/>
        </w:rPr>
        <w:t>Product owner, epidemiology owner, security and operations sign-off.</w:t>
      </w:r>
    </w:p>
    <w:p>
      <w:pPr>
        <w:jc w:val="left"/>
        <w:numPr>
          <w:ilvl w:val="0"/>
          <w:numId w:val="10"/>
        </w:numPr>
      </w:pPr>
      <w:r>
        <w:rPr>
          <w:rFonts w:ascii="Calibri" w:hAnsi="Calibri" w:eastAsia="Calibri"/>
          <w:b w:val="0"/>
          <w:color w:val="1F2933"/>
        </w:rPr>
        <w:t>Measured pilot acceptance and no open critical defect.</w:t>
      </w:r>
    </w:p>
    <w:p>
      <w:pPr>
        <w:pStyle w:val="Heading1"/>
      </w:pPr>
      <w:r>
        <w:rPr>
          <w:rFonts w:ascii="Calibri" w:hAnsi="Calibri" w:eastAsia="Calibri"/>
          <w:b/>
          <w:color w:val="2E74B5"/>
          <w:sz w:val="32"/>
        </w:rPr>
        <w:t>12. Adoption, capacity building and support</w:t>
      </w:r>
    </w:p>
    <w:p>
      <w:r>
        <w:rPr>
          <w:rFonts w:ascii="Calibri" w:hAnsi="Calibri" w:eastAsia="Calibri"/>
          <w:b w:val="0"/>
          <w:color w:val="1F2933"/>
        </w:rPr>
        <w:t>Technology adoption is a service transformation programme. The platform must reduce duplicate reporting, return local value and make quality gaps visible without punitive use.</w:t>
      </w:r>
    </w:p>
    <w:p>
      <w:pPr>
        <w:pStyle w:val="Heading2"/>
      </w:pPr>
      <w:r>
        <w:rPr>
          <w:rFonts w:ascii="Calibri" w:hAnsi="Calibri" w:eastAsia="Calibri"/>
          <w:b/>
          <w:color w:val="2E74B5"/>
          <w:sz w:val="26"/>
        </w:rPr>
        <w:t>12.1 Role-based learning pathways</w:t>
      </w:r>
    </w:p>
    <w:p>
      <w:pPr>
        <w:jc w:val="left"/>
        <w:numPr>
          <w:ilvl w:val="0"/>
          <w:numId w:val="10"/>
        </w:numPr>
      </w:pPr>
      <w:r>
        <w:rPr>
          <w:rFonts w:ascii="Calibri" w:hAnsi="Calibri" w:eastAsia="Calibri"/>
          <w:b w:val="0"/>
          <w:color w:val="1F2933"/>
        </w:rPr>
        <w:t>Laboratory technician: standards, data capture/import, QC, correction and sync.</w:t>
      </w:r>
    </w:p>
    <w:p>
      <w:pPr>
        <w:jc w:val="left"/>
        <w:numPr>
          <w:ilvl w:val="0"/>
          <w:numId w:val="10"/>
        </w:numPr>
      </w:pPr>
      <w:r>
        <w:rPr>
          <w:rFonts w:ascii="Calibri" w:hAnsi="Calibri" w:eastAsia="Calibri"/>
          <w:b w:val="0"/>
          <w:color w:val="1F2933"/>
        </w:rPr>
        <w:t>Microbiologist: breakpoint governance, antibiogram, alerts, EQA and interpretation.</w:t>
      </w:r>
    </w:p>
    <w:p>
      <w:pPr>
        <w:jc w:val="left"/>
        <w:numPr>
          <w:ilvl w:val="0"/>
          <w:numId w:val="10"/>
        </w:numPr>
      </w:pPr>
      <w:r>
        <w:rPr>
          <w:rFonts w:ascii="Calibri" w:hAnsi="Calibri" w:eastAsia="Calibri"/>
          <w:b w:val="0"/>
          <w:color w:val="1F2933"/>
        </w:rPr>
        <w:t>Clinician/pharmacist: AWaRe, stewardship metrics, audit and feedback.</w:t>
      </w:r>
    </w:p>
    <w:p>
      <w:pPr>
        <w:jc w:val="left"/>
        <w:numPr>
          <w:ilvl w:val="0"/>
          <w:numId w:val="10"/>
        </w:numPr>
      </w:pPr>
      <w:r>
        <w:rPr>
          <w:rFonts w:ascii="Calibri" w:hAnsi="Calibri" w:eastAsia="Calibri"/>
          <w:b w:val="0"/>
          <w:color w:val="1F2933"/>
        </w:rPr>
        <w:t>IPC nurse/officer: definitions, denominators, investigation and actions.</w:t>
      </w:r>
    </w:p>
    <w:p>
      <w:pPr>
        <w:jc w:val="left"/>
        <w:numPr>
          <w:ilvl w:val="0"/>
          <w:numId w:val="10"/>
        </w:numPr>
      </w:pPr>
      <w:r>
        <w:rPr>
          <w:rFonts w:ascii="Calibri" w:hAnsi="Calibri" w:eastAsia="Calibri"/>
          <w:b w:val="0"/>
          <w:color w:val="1F2933"/>
        </w:rPr>
        <w:t>Veterinary/field/food/environment officer: sector sampling, metadata, chain of custody and response.</w:t>
      </w:r>
    </w:p>
    <w:p>
      <w:pPr>
        <w:jc w:val="left"/>
        <w:numPr>
          <w:ilvl w:val="0"/>
          <w:numId w:val="10"/>
        </w:numPr>
      </w:pPr>
      <w:r>
        <w:rPr>
          <w:rFonts w:ascii="Calibri" w:hAnsi="Calibri" w:eastAsia="Calibri"/>
          <w:b w:val="0"/>
          <w:color w:val="1F2933"/>
        </w:rPr>
        <w:t>Data steward: quality, lineage, master data and correction.</w:t>
      </w:r>
    </w:p>
    <w:p>
      <w:pPr>
        <w:jc w:val="left"/>
        <w:numPr>
          <w:ilvl w:val="0"/>
          <w:numId w:val="10"/>
        </w:numPr>
      </w:pPr>
      <w:r>
        <w:rPr>
          <w:rFonts w:ascii="Calibri" w:hAnsi="Calibri" w:eastAsia="Calibri"/>
          <w:b w:val="0"/>
          <w:color w:val="1F2933"/>
        </w:rPr>
        <w:t>District/State programme officer: dashboards, alerts, risk assessment and action closure.</w:t>
      </w:r>
    </w:p>
    <w:p>
      <w:pPr>
        <w:jc w:val="left"/>
        <w:numPr>
          <w:ilvl w:val="0"/>
          <w:numId w:val="10"/>
        </w:numPr>
      </w:pPr>
      <w:r>
        <w:rPr>
          <w:rFonts w:ascii="Calibri" w:hAnsi="Calibri" w:eastAsia="Calibri"/>
          <w:b w:val="0"/>
          <w:color w:val="1F2933"/>
        </w:rPr>
        <w:t>National analyst: representative analysis, uncertainty, disclosure and reporting.</w:t>
      </w:r>
    </w:p>
    <w:p>
      <w:pPr>
        <w:jc w:val="left"/>
        <w:numPr>
          <w:ilvl w:val="0"/>
          <w:numId w:val="10"/>
        </w:numPr>
      </w:pPr>
      <w:r>
        <w:rPr>
          <w:rFonts w:ascii="Calibri" w:hAnsi="Calibri" w:eastAsia="Calibri"/>
          <w:b w:val="0"/>
          <w:color w:val="1F2933"/>
        </w:rPr>
        <w:t>Administrator/SRE/security: provisioning, observability, incident and recovery.</w:t>
      </w:r>
    </w:p>
    <w:p>
      <w:pPr>
        <w:pStyle w:val="Heading2"/>
      </w:pPr>
      <w:r>
        <w:rPr>
          <w:rFonts w:ascii="Calibri" w:hAnsi="Calibri" w:eastAsia="Calibri"/>
          <w:b/>
          <w:color w:val="2E74B5"/>
          <w:sz w:val="26"/>
        </w:rPr>
        <w:t>12.2 Support model</w:t>
      </w:r>
    </w:p>
    <w:p>
      <w:pPr>
        <w:jc w:val="left"/>
        <w:numPr>
          <w:ilvl w:val="0"/>
          <w:numId w:val="10"/>
        </w:numPr>
      </w:pPr>
      <w:r>
        <w:rPr>
          <w:rFonts w:ascii="Calibri" w:hAnsi="Calibri" w:eastAsia="Calibri"/>
          <w:b w:val="0"/>
          <w:color w:val="1F2933"/>
        </w:rPr>
        <w:t>Tier 0 in-product guidance, validation messages and searchable knowledge base.</w:t>
      </w:r>
    </w:p>
    <w:p>
      <w:pPr>
        <w:jc w:val="left"/>
        <w:numPr>
          <w:ilvl w:val="0"/>
          <w:numId w:val="10"/>
        </w:numPr>
      </w:pPr>
      <w:r>
        <w:rPr>
          <w:rFonts w:ascii="Calibri" w:hAnsi="Calibri" w:eastAsia="Calibri"/>
          <w:b w:val="0"/>
          <w:color w:val="1F2933"/>
        </w:rPr>
        <w:t>Tier 1 State/UT help desk and trained super-users.</w:t>
      </w:r>
    </w:p>
    <w:p>
      <w:pPr>
        <w:jc w:val="left"/>
        <w:numPr>
          <w:ilvl w:val="0"/>
          <w:numId w:val="10"/>
        </w:numPr>
      </w:pPr>
      <w:r>
        <w:rPr>
          <w:rFonts w:ascii="Calibri" w:hAnsi="Calibri" w:eastAsia="Calibri"/>
          <w:b w:val="0"/>
          <w:color w:val="1F2933"/>
        </w:rPr>
        <w:t>Tier 2 national product/data support.</w:t>
      </w:r>
    </w:p>
    <w:p>
      <w:pPr>
        <w:jc w:val="left"/>
        <w:numPr>
          <w:ilvl w:val="0"/>
          <w:numId w:val="10"/>
        </w:numPr>
      </w:pPr>
      <w:r>
        <w:rPr>
          <w:rFonts w:ascii="Calibri" w:hAnsi="Calibri" w:eastAsia="Calibri"/>
          <w:b w:val="0"/>
          <w:color w:val="1F2933"/>
        </w:rPr>
        <w:t>Tier 3 engineering, security, interoperability and methods specialists.</w:t>
      </w:r>
    </w:p>
    <w:p>
      <w:pPr>
        <w:jc w:val="left"/>
        <w:numPr>
          <w:ilvl w:val="0"/>
          <w:numId w:val="10"/>
        </w:numPr>
      </w:pPr>
      <w:r>
        <w:rPr>
          <w:rFonts w:ascii="Calibri" w:hAnsi="Calibri" w:eastAsia="Calibri"/>
          <w:b w:val="0"/>
          <w:color w:val="1F2933"/>
        </w:rPr>
        <w:t>Published severity/SLA matrix, escalation and problem-management process.</w:t>
      </w:r>
    </w:p>
    <w:p>
      <w:pPr>
        <w:jc w:val="left"/>
        <w:numPr>
          <w:ilvl w:val="0"/>
          <w:numId w:val="10"/>
        </w:numPr>
      </w:pPr>
      <w:r>
        <w:rPr>
          <w:rFonts w:ascii="Calibri" w:hAnsi="Calibri" w:eastAsia="Calibri"/>
          <w:b w:val="0"/>
          <w:color w:val="1F2933"/>
        </w:rPr>
        <w:t>Remote diagnostics limited to non-sensitive telemetry unless explicit supervised access is authorised.</w:t>
      </w:r>
    </w:p>
    <w:p>
      <w:pPr>
        <w:pStyle w:val="Heading1"/>
      </w:pPr>
      <w:r>
        <w:rPr>
          <w:rFonts w:ascii="Calibri" w:hAnsi="Calibri" w:eastAsia="Calibri"/>
          <w:b/>
          <w:color w:val="2E74B5"/>
          <w:sz w:val="32"/>
        </w:rPr>
        <w:t>13. Procurement and delivery model</w:t>
      </w:r>
    </w:p>
    <w:p>
      <w:r>
        <w:rPr>
          <w:rFonts w:ascii="Calibri" w:hAnsi="Calibri" w:eastAsia="Calibri"/>
          <w:b w:val="0"/>
          <w:color w:val="1F2933"/>
        </w:rPr>
        <w:t>Avoid a single end-to-end black-box procurement. Package work into interoperable lots with a government-owned architecture and shared acceptance suite:</w:t>
      </w:r>
    </w:p>
    <w:p>
      <w:pPr>
        <w:jc w:val="left"/>
        <w:numPr>
          <w:ilvl w:val="0"/>
          <w:numId w:val="10"/>
        </w:numPr>
      </w:pPr>
      <w:r>
        <w:rPr>
          <w:rFonts w:ascii="Calibri" w:hAnsi="Calibri" w:eastAsia="Calibri"/>
          <w:b w:val="0"/>
          <w:color w:val="1F2933"/>
        </w:rPr>
        <w:t>Core product and edge platform.</w:t>
      </w:r>
    </w:p>
    <w:p>
      <w:pPr>
        <w:jc w:val="left"/>
        <w:numPr>
          <w:ilvl w:val="0"/>
          <w:numId w:val="10"/>
        </w:numPr>
      </w:pPr>
      <w:r>
        <w:rPr>
          <w:rFonts w:ascii="Calibri" w:hAnsi="Calibri" w:eastAsia="Calibri"/>
          <w:b w:val="0"/>
          <w:color w:val="1F2933"/>
        </w:rPr>
        <w:t>National cloud/platform operations.</w:t>
      </w:r>
    </w:p>
    <w:p>
      <w:pPr>
        <w:jc w:val="left"/>
        <w:numPr>
          <w:ilvl w:val="0"/>
          <w:numId w:val="10"/>
        </w:numPr>
      </w:pPr>
      <w:r>
        <w:rPr>
          <w:rFonts w:ascii="Calibri" w:hAnsi="Calibri" w:eastAsia="Calibri"/>
          <w:b w:val="0"/>
          <w:color w:val="1F2933"/>
        </w:rPr>
        <w:t>Security and independent assurance.</w:t>
      </w:r>
    </w:p>
    <w:p>
      <w:pPr>
        <w:jc w:val="left"/>
        <w:numPr>
          <w:ilvl w:val="0"/>
          <w:numId w:val="10"/>
        </w:numPr>
      </w:pPr>
      <w:r>
        <w:rPr>
          <w:rFonts w:ascii="Calibri" w:hAnsi="Calibri" w:eastAsia="Calibri"/>
          <w:b w:val="0"/>
          <w:color w:val="1F2933"/>
        </w:rPr>
        <w:t>Interoperability/connectors and terminology.</w:t>
      </w:r>
    </w:p>
    <w:p>
      <w:pPr>
        <w:jc w:val="left"/>
        <w:numPr>
          <w:ilvl w:val="0"/>
          <w:numId w:val="10"/>
        </w:numPr>
      </w:pPr>
      <w:r>
        <w:rPr>
          <w:rFonts w:ascii="Calibri" w:hAnsi="Calibri" w:eastAsia="Calibri"/>
          <w:b w:val="0"/>
          <w:color w:val="1F2933"/>
        </w:rPr>
        <w:t>Sector modules.</w:t>
      </w:r>
    </w:p>
    <w:p>
      <w:pPr>
        <w:jc w:val="left"/>
        <w:numPr>
          <w:ilvl w:val="0"/>
          <w:numId w:val="10"/>
        </w:numPr>
      </w:pPr>
      <w:r>
        <w:rPr>
          <w:rFonts w:ascii="Calibri" w:hAnsi="Calibri" w:eastAsia="Calibri"/>
          <w:b w:val="0"/>
          <w:color w:val="1F2933"/>
        </w:rPr>
        <w:t>State/UT implementation and training.</w:t>
      </w:r>
    </w:p>
    <w:p>
      <w:pPr>
        <w:jc w:val="left"/>
        <w:numPr>
          <w:ilvl w:val="0"/>
          <w:numId w:val="10"/>
        </w:numPr>
      </w:pPr>
      <w:r>
        <w:rPr>
          <w:rFonts w:ascii="Calibri" w:hAnsi="Calibri" w:eastAsia="Calibri"/>
          <w:b w:val="0"/>
          <w:color w:val="1F2933"/>
        </w:rPr>
        <w:t>Independent M&amp;E and scientific validation.</w:t>
      </w:r>
    </w:p>
    <w:p>
      <w:r>
        <w:rPr>
          <w:rFonts w:ascii="Calibri" w:hAnsi="Calibri" w:eastAsia="Calibri"/>
          <w:b w:val="0"/>
          <w:color w:val="1F2933"/>
        </w:rPr>
        <w:t>Contracts should require source-code escrow or government ownership as appropriate, open APIs, data portability, documentation, SBOM, vulnerability obligations, performance SLOs, exit assistance and prohibition of secondary data use. Payment milestones should be tied to verified outcomes and acceptance evidence, not screenshots or installation counts.</w:t>
      </w:r>
    </w:p>
    <w:p>
      <w:pPr>
        <w:pStyle w:val="Heading2"/>
      </w:pPr>
      <w:r>
        <w:rPr>
          <w:rFonts w:ascii="Calibri" w:hAnsi="Calibri" w:eastAsia="Calibri"/>
          <w:b/>
          <w:color w:val="2E74B5"/>
          <w:sz w:val="26"/>
        </w:rPr>
        <w:t>13.1 Costing method</w:t>
      </w:r>
    </w:p>
    <w:p>
      <w:r>
        <w:rPr>
          <w:rFonts w:ascii="Calibri" w:hAnsi="Calibri" w:eastAsia="Calibri"/>
          <w:b w:val="0"/>
          <w:color w:val="1F2933"/>
        </w:rPr>
        <w:t>Produce a bottom-up, five-year total-cost-of-ownership model during Phase 0. Cost drivers:</w:t>
      </w:r>
    </w:p>
    <w:p>
      <w:pPr>
        <w:jc w:val="left"/>
        <w:numPr>
          <w:ilvl w:val="0"/>
          <w:numId w:val="10"/>
        </w:numPr>
      </w:pPr>
      <w:r>
        <w:rPr>
          <w:rFonts w:ascii="Calibri" w:hAnsi="Calibri" w:eastAsia="Calibri"/>
          <w:b w:val="0"/>
          <w:color w:val="1F2933"/>
        </w:rPr>
        <w:t>Number and maturity of facilities/sites by sector.</w:t>
      </w:r>
    </w:p>
    <w:p>
      <w:pPr>
        <w:jc w:val="left"/>
        <w:numPr>
          <w:ilvl w:val="0"/>
          <w:numId w:val="10"/>
        </w:numPr>
      </w:pPr>
      <w:r>
        <w:rPr>
          <w:rFonts w:ascii="Calibri" w:hAnsi="Calibri" w:eastAsia="Calibri"/>
          <w:b w:val="0"/>
          <w:color w:val="1F2933"/>
        </w:rPr>
        <w:t>Hardware, connectivity and local support needs.</w:t>
      </w:r>
    </w:p>
    <w:p>
      <w:pPr>
        <w:jc w:val="left"/>
        <w:numPr>
          <w:ilvl w:val="0"/>
          <w:numId w:val="10"/>
        </w:numPr>
      </w:pPr>
      <w:r>
        <w:rPr>
          <w:rFonts w:ascii="Calibri" w:hAnsi="Calibri" w:eastAsia="Calibri"/>
          <w:b w:val="0"/>
          <w:color w:val="1F2933"/>
        </w:rPr>
        <w:t>Integration complexity and vendor diversity.</w:t>
      </w:r>
    </w:p>
    <w:p>
      <w:pPr>
        <w:jc w:val="left"/>
        <w:numPr>
          <w:ilvl w:val="0"/>
          <w:numId w:val="10"/>
        </w:numPr>
      </w:pPr>
      <w:r>
        <w:rPr>
          <w:rFonts w:ascii="Calibri" w:hAnsi="Calibri" w:eastAsia="Calibri"/>
          <w:b w:val="0"/>
          <w:color w:val="1F2933"/>
        </w:rPr>
        <w:t>Central environments, storage, observability, DR and security operations.</w:t>
      </w:r>
    </w:p>
    <w:p>
      <w:pPr>
        <w:jc w:val="left"/>
        <w:numPr>
          <w:ilvl w:val="0"/>
          <w:numId w:val="10"/>
        </w:numPr>
      </w:pPr>
      <w:r>
        <w:rPr>
          <w:rFonts w:ascii="Calibri" w:hAnsi="Calibri" w:eastAsia="Calibri"/>
          <w:b w:val="0"/>
          <w:color w:val="1F2933"/>
        </w:rPr>
        <w:t>Terminology/licensing and quality-assurance programmes.</w:t>
      </w:r>
    </w:p>
    <w:p>
      <w:pPr>
        <w:jc w:val="left"/>
        <w:numPr>
          <w:ilvl w:val="0"/>
          <w:numId w:val="10"/>
        </w:numPr>
      </w:pPr>
      <w:r>
        <w:rPr>
          <w:rFonts w:ascii="Calibri" w:hAnsi="Calibri" w:eastAsia="Calibri"/>
          <w:b w:val="0"/>
          <w:color w:val="1F2933"/>
        </w:rPr>
        <w:t>Training, change management, help desk and travel.</w:t>
      </w:r>
    </w:p>
    <w:p>
      <w:pPr>
        <w:jc w:val="left"/>
        <w:numPr>
          <w:ilvl w:val="0"/>
          <w:numId w:val="10"/>
        </w:numPr>
      </w:pPr>
      <w:r>
        <w:rPr>
          <w:rFonts w:ascii="Calibri" w:hAnsi="Calibri" w:eastAsia="Calibri"/>
          <w:b w:val="0"/>
          <w:color w:val="1F2933"/>
        </w:rPr>
        <w:t>Product engineering, maintenance, independent assurance and evaluation.</w:t>
      </w:r>
    </w:p>
    <w:p>
      <w:pPr>
        <w:jc w:val="left"/>
        <w:numPr>
          <w:ilvl w:val="0"/>
          <w:numId w:val="10"/>
        </w:numPr>
      </w:pPr>
      <w:r>
        <w:rPr>
          <w:rFonts w:ascii="Calibri" w:hAnsi="Calibri" w:eastAsia="Calibri"/>
          <w:b w:val="0"/>
          <w:color w:val="1F2933"/>
        </w:rPr>
        <w:t>State/UT implementation units and recurrent staffing.</w:t>
      </w:r>
    </w:p>
    <w:p>
      <w:r>
        <w:rPr>
          <w:rFonts w:ascii="Calibri" w:hAnsi="Calibri" w:eastAsia="Calibri"/>
          <w:b w:val="0"/>
          <w:color w:val="1F2933"/>
        </w:rPr>
        <w:t>Compare at least three adoption scenarios—sentinel, accelerated and universal-service—using the same unit-cost assumptions. Do not commit a national figure until the inventory and reference implementations establish actual unit costs.</w:t>
      </w:r>
    </w:p>
    <w:p>
      <w:pPr>
        <w:pStyle w:val="Heading1"/>
      </w:pPr>
      <w:r>
        <w:rPr>
          <w:rFonts w:ascii="Calibri" w:hAnsi="Calibri" w:eastAsia="Calibri"/>
          <w:b/>
          <w:color w:val="2E74B5"/>
          <w:sz w:val="32"/>
        </w:rPr>
        <w:t>14. Monitoring, evaluation and learning</w:t>
      </w:r>
    </w:p>
    <w:p>
      <w:pPr>
        <w:pStyle w:val="Heading2"/>
      </w:pPr>
      <w:r>
        <w:rPr>
          <w:rFonts w:ascii="Calibri" w:hAnsi="Calibri" w:eastAsia="Calibri"/>
          <w:b/>
          <w:color w:val="2E74B5"/>
          <w:sz w:val="26"/>
        </w:rPr>
        <w:t>14.1 Programme scorecard</w:t>
      </w:r>
    </w:p>
    <w:tbl>
      <w:tblPr>
        <w:tblW w:type="dxa" w:w="9360"/>
        <w:jc w:val="left"/>
        <w:tblLayout w:type="fixed"/>
        <w:tblLook w:firstColumn="1" w:firstRow="1" w:lastColumn="0" w:lastRow="0" w:noHBand="0" w:noVBand="1" w:val="04A0"/>
        <w:tblInd w:w="120" w:type="dxa"/>
        <w:tblBorders>
          <w:top w:val="single" w:sz="6" w:space="0" w:color="D9E1E8"/>
          <w:left w:val="single" w:sz="6" w:space="0" w:color="D9E1E8"/>
          <w:bottom w:val="single" w:sz="6" w:space="0" w:color="D9E1E8"/>
          <w:right w:val="single" w:sz="6" w:space="0" w:color="D9E1E8"/>
          <w:insideH w:val="single" w:sz="6" w:space="0" w:color="D9E1E8"/>
          <w:insideV w:val="single" w:sz="6" w:space="0" w:color="D9E1E8"/>
        </w:tblBorders>
      </w:tblPr>
      <w:tblGrid>
        <w:gridCol w:w="1800"/>
        <w:gridCol w:w="3500"/>
        <w:gridCol w:w="4060"/>
      </w:tblGrid>
      <w:tr>
        <w:trPr>
          <w:tblHeader w:val="true"/>
          <w:cantSplit w:val="true"/>
        </w:trPr>
        <w:tc>
          <w:tcPr>
            <w:tcW w:type="dxa" w:w="1800"/>
            <w:tcMar>
              <w:top w:w="90" w:type="dxa"/>
              <w:start w:w="120" w:type="dxa"/>
              <w:bottom w:w="90" w:type="dxa"/>
              <w:end w:w="120" w:type="dxa"/>
            </w:tcMar>
            <w:vAlign w:val="center"/>
            <w:shd w:fill="17365D"/>
          </w:tcPr>
          <w:p>
            <w:pPr>
              <w:pStyle w:val="TableText"/>
              <w:jc w:val="left"/>
            </w:pPr>
            <w:r>
              <w:rPr>
                <w:rFonts w:ascii="Calibri" w:hAnsi="Calibri" w:eastAsia="Calibri"/>
                <w:b/>
                <w:color w:val="FFFFFF"/>
                <w:sz w:val="18"/>
              </w:rPr>
              <w:t>Outcome</w:t>
            </w:r>
          </w:p>
        </w:tc>
        <w:tc>
          <w:tcPr>
            <w:tcW w:type="dxa" w:w="3500"/>
            <w:tcMar>
              <w:top w:w="90" w:type="dxa"/>
              <w:start w:w="120" w:type="dxa"/>
              <w:bottom w:w="90" w:type="dxa"/>
              <w:end w:w="120" w:type="dxa"/>
            </w:tcMar>
            <w:vAlign w:val="center"/>
            <w:shd w:fill="17365D"/>
          </w:tcPr>
          <w:p>
            <w:pPr>
              <w:pStyle w:val="TableText"/>
              <w:jc w:val="left"/>
            </w:pPr>
            <w:r>
              <w:rPr>
                <w:rFonts w:ascii="Calibri" w:hAnsi="Calibri" w:eastAsia="Calibri"/>
                <w:b/>
                <w:color w:val="FFFFFF"/>
                <w:sz w:val="18"/>
              </w:rPr>
              <w:t>Indicator examples</w:t>
            </w:r>
          </w:p>
        </w:tc>
        <w:tc>
          <w:tcPr>
            <w:tcW w:type="dxa" w:w="4060"/>
            <w:tcMar>
              <w:top w:w="90" w:type="dxa"/>
              <w:start w:w="120" w:type="dxa"/>
              <w:bottom w:w="90" w:type="dxa"/>
              <w:end w:w="120" w:type="dxa"/>
            </w:tcMar>
            <w:vAlign w:val="center"/>
            <w:shd w:fill="17365D"/>
          </w:tcPr>
          <w:p>
            <w:pPr>
              <w:pStyle w:val="TableText"/>
              <w:jc w:val="left"/>
            </w:pPr>
            <w:r>
              <w:rPr>
                <w:rFonts w:ascii="Calibri" w:hAnsi="Calibri" w:eastAsia="Calibri"/>
                <w:b/>
                <w:color w:val="FFFFFF"/>
                <w:sz w:val="18"/>
              </w:rPr>
              <w:t>Cadence</w:t>
            </w:r>
          </w:p>
        </w:tc>
      </w:tr>
      <w:tr>
        <w:trPr>
          <w:cantSplit w:val="true"/>
        </w:trPr>
        <w:tc>
          <w:tcPr>
            <w:tcW w:type="dxa" w:w="1800"/>
            <w:tcMar>
              <w:top w:w="90" w:type="dxa"/>
              <w:start w:w="120" w:type="dxa"/>
              <w:bottom w:w="90" w:type="dxa"/>
              <w:end w:w="120" w:type="dxa"/>
            </w:tcMar>
            <w:vAlign w:val="center"/>
          </w:tcPr>
          <w:p>
            <w:pPr>
              <w:pStyle w:val="TableText"/>
              <w:jc w:val="left"/>
            </w:pPr>
            <w:r>
              <w:rPr>
                <w:rFonts w:ascii="Calibri" w:hAnsi="Calibri" w:eastAsia="Calibri"/>
                <w:b w:val="0"/>
                <w:color w:val="1F2933"/>
                <w:sz w:val="18"/>
              </w:rPr>
              <w:t>Governance</w:t>
            </w:r>
          </w:p>
        </w:tc>
        <w:tc>
          <w:tcPr>
            <w:tcW w:type="dxa" w:w="3500"/>
            <w:tcMar>
              <w:top w:w="90" w:type="dxa"/>
              <w:start w:w="120" w:type="dxa"/>
              <w:bottom w:w="90" w:type="dxa"/>
              <w:end w:w="120" w:type="dxa"/>
            </w:tcMar>
            <w:vAlign w:val="center"/>
          </w:tcPr>
          <w:p>
            <w:pPr>
              <w:pStyle w:val="TableText"/>
              <w:jc w:val="left"/>
            </w:pPr>
            <w:r>
              <w:rPr>
                <w:rFonts w:ascii="Calibri" w:hAnsi="Calibri" w:eastAsia="Calibri"/>
                <w:b w:val="0"/>
                <w:color w:val="1F2933"/>
                <w:sz w:val="18"/>
              </w:rPr>
              <w:t>Active sector/State units; meetings held; decisions closed; SAP-CAR funded</w:t>
            </w:r>
          </w:p>
        </w:tc>
        <w:tc>
          <w:tcPr>
            <w:tcW w:type="dxa" w:w="4060"/>
            <w:tcMar>
              <w:top w:w="90" w:type="dxa"/>
              <w:start w:w="120" w:type="dxa"/>
              <w:bottom w:w="90" w:type="dxa"/>
              <w:end w:w="120" w:type="dxa"/>
            </w:tcMar>
            <w:vAlign w:val="center"/>
          </w:tcPr>
          <w:p>
            <w:pPr>
              <w:pStyle w:val="TableText"/>
              <w:jc w:val="left"/>
            </w:pPr>
            <w:r>
              <w:rPr>
                <w:rFonts w:ascii="Calibri" w:hAnsi="Calibri" w:eastAsia="Calibri"/>
                <w:b w:val="0"/>
                <w:color w:val="1F2933"/>
                <w:sz w:val="18"/>
              </w:rPr>
              <w:t>Quarterly/biannual</w:t>
            </w:r>
          </w:p>
        </w:tc>
      </w:tr>
      <w:tr>
        <w:trPr>
          <w:cantSplit w:val="true"/>
        </w:trPr>
        <w:tc>
          <w:tcPr>
            <w:tcW w:type="dxa" w:w="1800"/>
            <w:tcMar>
              <w:top w:w="90" w:type="dxa"/>
              <w:start w:w="120" w:type="dxa"/>
              <w:bottom w:w="90" w:type="dxa"/>
              <w:end w:w="120" w:type="dxa"/>
            </w:tcMar>
            <w:vAlign w:val="center"/>
            <w:shd w:fill="F4F6F9"/>
          </w:tcPr>
          <w:p>
            <w:pPr>
              <w:pStyle w:val="TableText"/>
              <w:jc w:val="left"/>
            </w:pPr>
            <w:r>
              <w:rPr>
                <w:rFonts w:ascii="Calibri" w:hAnsi="Calibri" w:eastAsia="Calibri"/>
                <w:b w:val="0"/>
                <w:color w:val="1F2933"/>
                <w:sz w:val="18"/>
              </w:rPr>
              <w:t>Laboratory capacity</w:t>
            </w:r>
          </w:p>
        </w:tc>
        <w:tc>
          <w:tcPr>
            <w:tcW w:type="dxa" w:w="3500"/>
            <w:tcMar>
              <w:top w:w="90" w:type="dxa"/>
              <w:start w:w="120" w:type="dxa"/>
              <w:bottom w:w="90" w:type="dxa"/>
              <w:end w:w="120" w:type="dxa"/>
            </w:tcMar>
            <w:vAlign w:val="center"/>
            <w:shd w:fill="F4F6F9"/>
          </w:tcPr>
          <w:p>
            <w:pPr>
              <w:pStyle w:val="TableText"/>
              <w:jc w:val="left"/>
            </w:pPr>
            <w:r>
              <w:rPr>
                <w:rFonts w:ascii="Calibri" w:hAnsi="Calibri" w:eastAsia="Calibri"/>
                <w:b w:val="0"/>
                <w:color w:val="1F2933"/>
                <w:sz w:val="18"/>
              </w:rPr>
              <w:t>Quality-assured labs; EQA performance; turnaround; valid AST completeness</w:t>
            </w:r>
          </w:p>
        </w:tc>
        <w:tc>
          <w:tcPr>
            <w:tcW w:type="dxa" w:w="4060"/>
            <w:tcMar>
              <w:top w:w="90" w:type="dxa"/>
              <w:start w:w="120" w:type="dxa"/>
              <w:bottom w:w="90" w:type="dxa"/>
              <w:end w:w="120" w:type="dxa"/>
            </w:tcMar>
            <w:vAlign w:val="center"/>
            <w:shd w:fill="F4F6F9"/>
          </w:tcPr>
          <w:p>
            <w:pPr>
              <w:pStyle w:val="TableText"/>
              <w:jc w:val="left"/>
            </w:pPr>
            <w:r>
              <w:rPr>
                <w:rFonts w:ascii="Calibri" w:hAnsi="Calibri" w:eastAsia="Calibri"/>
                <w:b w:val="0"/>
                <w:color w:val="1F2933"/>
                <w:sz w:val="18"/>
              </w:rPr>
              <w:t>Monthly/quarterly</w:t>
            </w:r>
          </w:p>
        </w:tc>
      </w:tr>
      <w:tr>
        <w:trPr>
          <w:cantSplit w:val="true"/>
        </w:trPr>
        <w:tc>
          <w:tcPr>
            <w:tcW w:type="dxa" w:w="1800"/>
            <w:tcMar>
              <w:top w:w="90" w:type="dxa"/>
              <w:start w:w="120" w:type="dxa"/>
              <w:bottom w:w="90" w:type="dxa"/>
              <w:end w:w="120" w:type="dxa"/>
            </w:tcMar>
            <w:vAlign w:val="center"/>
          </w:tcPr>
          <w:p>
            <w:pPr>
              <w:pStyle w:val="TableText"/>
              <w:jc w:val="left"/>
            </w:pPr>
            <w:r>
              <w:rPr>
                <w:rFonts w:ascii="Calibri" w:hAnsi="Calibri" w:eastAsia="Calibri"/>
                <w:b w:val="0"/>
                <w:color w:val="1F2933"/>
                <w:sz w:val="18"/>
              </w:rPr>
              <w:t>Surveillance representation</w:t>
            </w:r>
          </w:p>
        </w:tc>
        <w:tc>
          <w:tcPr>
            <w:tcW w:type="dxa" w:w="3500"/>
            <w:tcMar>
              <w:top w:w="90" w:type="dxa"/>
              <w:start w:w="120" w:type="dxa"/>
              <w:bottom w:w="90" w:type="dxa"/>
              <w:end w:w="120" w:type="dxa"/>
            </w:tcMar>
            <w:vAlign w:val="center"/>
          </w:tcPr>
          <w:p>
            <w:pPr>
              <w:pStyle w:val="TableText"/>
              <w:jc w:val="left"/>
            </w:pPr>
            <w:r>
              <w:rPr>
                <w:rFonts w:ascii="Calibri" w:hAnsi="Calibri" w:eastAsia="Calibri"/>
                <w:b w:val="0"/>
                <w:color w:val="1F2933"/>
                <w:sz w:val="18"/>
              </w:rPr>
              <w:t>Sites, districts, sectors and population/animal production covered</w:t>
            </w:r>
          </w:p>
        </w:tc>
        <w:tc>
          <w:tcPr>
            <w:tcW w:type="dxa" w:w="4060"/>
            <w:tcMar>
              <w:top w:w="90" w:type="dxa"/>
              <w:start w:w="120" w:type="dxa"/>
              <w:bottom w:w="90" w:type="dxa"/>
              <w:end w:w="120" w:type="dxa"/>
            </w:tcMar>
            <w:vAlign w:val="center"/>
          </w:tcPr>
          <w:p>
            <w:pPr>
              <w:pStyle w:val="TableText"/>
              <w:jc w:val="left"/>
            </w:pPr>
            <w:r>
              <w:rPr>
                <w:rFonts w:ascii="Calibri" w:hAnsi="Calibri" w:eastAsia="Calibri"/>
                <w:b w:val="0"/>
                <w:color w:val="1F2933"/>
                <w:sz w:val="18"/>
              </w:rPr>
              <w:t>Quarterly</w:t>
            </w:r>
          </w:p>
        </w:tc>
      </w:tr>
      <w:tr>
        <w:trPr>
          <w:cantSplit w:val="true"/>
        </w:trPr>
        <w:tc>
          <w:tcPr>
            <w:tcW w:type="dxa" w:w="1800"/>
            <w:tcMar>
              <w:top w:w="90" w:type="dxa"/>
              <w:start w:w="120" w:type="dxa"/>
              <w:bottom w:w="90" w:type="dxa"/>
              <w:end w:w="120" w:type="dxa"/>
            </w:tcMar>
            <w:vAlign w:val="center"/>
            <w:shd w:fill="F4F6F9"/>
          </w:tcPr>
          <w:p>
            <w:pPr>
              <w:pStyle w:val="TableText"/>
              <w:jc w:val="left"/>
            </w:pPr>
            <w:r>
              <w:rPr>
                <w:rFonts w:ascii="Calibri" w:hAnsi="Calibri" w:eastAsia="Calibri"/>
                <w:b w:val="0"/>
                <w:color w:val="1F2933"/>
                <w:sz w:val="18"/>
              </w:rPr>
              <w:t>Data exchange</w:t>
            </w:r>
          </w:p>
        </w:tc>
        <w:tc>
          <w:tcPr>
            <w:tcW w:type="dxa" w:w="3500"/>
            <w:tcMar>
              <w:top w:w="90" w:type="dxa"/>
              <w:start w:w="120" w:type="dxa"/>
              <w:bottom w:w="90" w:type="dxa"/>
              <w:end w:w="120" w:type="dxa"/>
            </w:tcMar>
            <w:vAlign w:val="center"/>
            <w:shd w:fill="F4F6F9"/>
          </w:tcPr>
          <w:p>
            <w:pPr>
              <w:pStyle w:val="TableText"/>
              <w:jc w:val="left"/>
            </w:pPr>
            <w:r>
              <w:rPr>
                <w:rFonts w:ascii="Calibri" w:hAnsi="Calibri" w:eastAsia="Calibri"/>
                <w:b w:val="0"/>
                <w:color w:val="1F2933"/>
                <w:sz w:val="18"/>
              </w:rPr>
              <w:t>Valid batch rate, sync latency, backlog, duplicate/correction rate</w:t>
            </w:r>
          </w:p>
        </w:tc>
        <w:tc>
          <w:tcPr>
            <w:tcW w:type="dxa" w:w="4060"/>
            <w:tcMar>
              <w:top w:w="90" w:type="dxa"/>
              <w:start w:w="120" w:type="dxa"/>
              <w:bottom w:w="90" w:type="dxa"/>
              <w:end w:w="120" w:type="dxa"/>
            </w:tcMar>
            <w:vAlign w:val="center"/>
            <w:shd w:fill="F4F6F9"/>
          </w:tcPr>
          <w:p>
            <w:pPr>
              <w:pStyle w:val="TableText"/>
              <w:jc w:val="left"/>
            </w:pPr>
            <w:r>
              <w:rPr>
                <w:rFonts w:ascii="Calibri" w:hAnsi="Calibri" w:eastAsia="Calibri"/>
                <w:b w:val="0"/>
                <w:color w:val="1F2933"/>
                <w:sz w:val="18"/>
              </w:rPr>
              <w:t>Daily/monthly</w:t>
            </w:r>
          </w:p>
        </w:tc>
      </w:tr>
      <w:tr>
        <w:trPr>
          <w:cantSplit w:val="true"/>
        </w:trPr>
        <w:tc>
          <w:tcPr>
            <w:tcW w:type="dxa" w:w="1800"/>
            <w:tcMar>
              <w:top w:w="90" w:type="dxa"/>
              <w:start w:w="120" w:type="dxa"/>
              <w:bottom w:w="90" w:type="dxa"/>
              <w:end w:w="120" w:type="dxa"/>
            </w:tcMar>
            <w:vAlign w:val="center"/>
          </w:tcPr>
          <w:p>
            <w:pPr>
              <w:pStyle w:val="TableText"/>
              <w:jc w:val="left"/>
            </w:pPr>
            <w:r>
              <w:rPr>
                <w:rFonts w:ascii="Calibri" w:hAnsi="Calibri" w:eastAsia="Calibri"/>
                <w:b w:val="0"/>
                <w:color w:val="1F2933"/>
                <w:sz w:val="18"/>
              </w:rPr>
              <w:t>AMR intelligence</w:t>
            </w:r>
          </w:p>
        </w:tc>
        <w:tc>
          <w:tcPr>
            <w:tcW w:type="dxa" w:w="3500"/>
            <w:tcMar>
              <w:top w:w="90" w:type="dxa"/>
              <w:start w:w="120" w:type="dxa"/>
              <w:bottom w:w="90" w:type="dxa"/>
              <w:end w:w="120" w:type="dxa"/>
            </w:tcMar>
            <w:vAlign w:val="center"/>
          </w:tcPr>
          <w:p>
            <w:pPr>
              <w:pStyle w:val="TableText"/>
              <w:jc w:val="left"/>
            </w:pPr>
            <w:r>
              <w:rPr>
                <w:rFonts w:ascii="Calibri" w:hAnsi="Calibri" w:eastAsia="Calibri"/>
                <w:b w:val="0"/>
                <w:color w:val="1F2933"/>
                <w:sz w:val="18"/>
              </w:rPr>
              <w:t>Core organism–drug coverage, denominators, confidence, emerging alerts verified</w:t>
            </w:r>
          </w:p>
        </w:tc>
        <w:tc>
          <w:tcPr>
            <w:tcW w:type="dxa" w:w="4060"/>
            <w:tcMar>
              <w:top w:w="90" w:type="dxa"/>
              <w:start w:w="120" w:type="dxa"/>
              <w:bottom w:w="90" w:type="dxa"/>
              <w:end w:w="120" w:type="dxa"/>
            </w:tcMar>
            <w:vAlign w:val="center"/>
          </w:tcPr>
          <w:p>
            <w:pPr>
              <w:pStyle w:val="TableText"/>
              <w:jc w:val="left"/>
            </w:pPr>
            <w:r>
              <w:rPr>
                <w:rFonts w:ascii="Calibri" w:hAnsi="Calibri" w:eastAsia="Calibri"/>
                <w:b w:val="0"/>
                <w:color w:val="1F2933"/>
                <w:sz w:val="18"/>
              </w:rPr>
              <w:t>Monthly/quarterly</w:t>
            </w:r>
          </w:p>
        </w:tc>
      </w:tr>
      <w:tr>
        <w:trPr>
          <w:cantSplit w:val="true"/>
        </w:trPr>
        <w:tc>
          <w:tcPr>
            <w:tcW w:type="dxa" w:w="1800"/>
            <w:tcMar>
              <w:top w:w="90" w:type="dxa"/>
              <w:start w:w="120" w:type="dxa"/>
              <w:bottom w:w="90" w:type="dxa"/>
              <w:end w:w="120" w:type="dxa"/>
            </w:tcMar>
            <w:vAlign w:val="center"/>
            <w:shd w:fill="F4F6F9"/>
          </w:tcPr>
          <w:p>
            <w:pPr>
              <w:pStyle w:val="TableText"/>
              <w:jc w:val="left"/>
            </w:pPr>
            <w:r>
              <w:rPr>
                <w:rFonts w:ascii="Calibri" w:hAnsi="Calibri" w:eastAsia="Calibri"/>
                <w:b w:val="0"/>
                <w:color w:val="1F2933"/>
                <w:sz w:val="18"/>
              </w:rPr>
              <w:t>AMC/AMU</w:t>
            </w:r>
          </w:p>
        </w:tc>
        <w:tc>
          <w:tcPr>
            <w:tcW w:type="dxa" w:w="3500"/>
            <w:tcMar>
              <w:top w:w="90" w:type="dxa"/>
              <w:start w:w="120" w:type="dxa"/>
              <w:bottom w:w="90" w:type="dxa"/>
              <w:end w:w="120" w:type="dxa"/>
            </w:tcMar>
            <w:vAlign w:val="center"/>
            <w:shd w:fill="F4F6F9"/>
          </w:tcPr>
          <w:p>
            <w:pPr>
              <w:pStyle w:val="TableText"/>
              <w:jc w:val="left"/>
            </w:pPr>
            <w:r>
              <w:rPr>
                <w:rFonts w:ascii="Calibri" w:hAnsi="Calibri" w:eastAsia="Calibri"/>
                <w:b w:val="0"/>
                <w:color w:val="1F2933"/>
                <w:sz w:val="18"/>
              </w:rPr>
              <w:t>Facilities and sectors reporting; DDD/DOT; AWaRe Access share; animal-use coverage</w:t>
            </w:r>
          </w:p>
        </w:tc>
        <w:tc>
          <w:tcPr>
            <w:tcW w:type="dxa" w:w="4060"/>
            <w:tcMar>
              <w:top w:w="90" w:type="dxa"/>
              <w:start w:w="120" w:type="dxa"/>
              <w:bottom w:w="90" w:type="dxa"/>
              <w:end w:w="120" w:type="dxa"/>
            </w:tcMar>
            <w:vAlign w:val="center"/>
            <w:shd w:fill="F4F6F9"/>
          </w:tcPr>
          <w:p>
            <w:pPr>
              <w:pStyle w:val="TableText"/>
              <w:jc w:val="left"/>
            </w:pPr>
            <w:r>
              <w:rPr>
                <w:rFonts w:ascii="Calibri" w:hAnsi="Calibri" w:eastAsia="Calibri"/>
                <w:b w:val="0"/>
                <w:color w:val="1F2933"/>
                <w:sz w:val="18"/>
              </w:rPr>
              <w:t>Monthly/annual</w:t>
            </w:r>
          </w:p>
        </w:tc>
      </w:tr>
      <w:tr>
        <w:trPr>
          <w:cantSplit w:val="true"/>
        </w:trPr>
        <w:tc>
          <w:tcPr>
            <w:tcW w:type="dxa" w:w="1800"/>
            <w:tcMar>
              <w:top w:w="90" w:type="dxa"/>
              <w:start w:w="120" w:type="dxa"/>
              <w:bottom w:w="90" w:type="dxa"/>
              <w:end w:w="120" w:type="dxa"/>
            </w:tcMar>
            <w:vAlign w:val="center"/>
          </w:tcPr>
          <w:p>
            <w:pPr>
              <w:pStyle w:val="TableText"/>
              <w:jc w:val="left"/>
            </w:pPr>
            <w:r>
              <w:rPr>
                <w:rFonts w:ascii="Calibri" w:hAnsi="Calibri" w:eastAsia="Calibri"/>
                <w:b w:val="0"/>
                <w:color w:val="1F2933"/>
                <w:sz w:val="18"/>
              </w:rPr>
              <w:t>Stewardship</w:t>
            </w:r>
          </w:p>
        </w:tc>
        <w:tc>
          <w:tcPr>
            <w:tcW w:type="dxa" w:w="3500"/>
            <w:tcMar>
              <w:top w:w="90" w:type="dxa"/>
              <w:start w:w="120" w:type="dxa"/>
              <w:bottom w:w="90" w:type="dxa"/>
              <w:end w:w="120" w:type="dxa"/>
            </w:tcMar>
            <w:vAlign w:val="center"/>
          </w:tcPr>
          <w:p>
            <w:pPr>
              <w:pStyle w:val="TableText"/>
              <w:jc w:val="left"/>
            </w:pPr>
            <w:r>
              <w:rPr>
                <w:rFonts w:ascii="Calibri" w:hAnsi="Calibri" w:eastAsia="Calibri"/>
                <w:b w:val="0"/>
                <w:color w:val="1F2933"/>
                <w:sz w:val="18"/>
              </w:rPr>
              <w:t>Functional AMS teams; antibiotic time-outs; audit/feedback; appropriate-use measures</w:t>
            </w:r>
          </w:p>
        </w:tc>
        <w:tc>
          <w:tcPr>
            <w:tcW w:type="dxa" w:w="4060"/>
            <w:tcMar>
              <w:top w:w="90" w:type="dxa"/>
              <w:start w:w="120" w:type="dxa"/>
              <w:bottom w:w="90" w:type="dxa"/>
              <w:end w:w="120" w:type="dxa"/>
            </w:tcMar>
            <w:vAlign w:val="center"/>
          </w:tcPr>
          <w:p>
            <w:pPr>
              <w:pStyle w:val="TableText"/>
              <w:jc w:val="left"/>
            </w:pPr>
            <w:r>
              <w:rPr>
                <w:rFonts w:ascii="Calibri" w:hAnsi="Calibri" w:eastAsia="Calibri"/>
                <w:b w:val="0"/>
                <w:color w:val="1F2933"/>
                <w:sz w:val="18"/>
              </w:rPr>
              <w:t>Quarterly</w:t>
            </w:r>
          </w:p>
        </w:tc>
      </w:tr>
      <w:tr>
        <w:trPr>
          <w:cantSplit w:val="true"/>
        </w:trPr>
        <w:tc>
          <w:tcPr>
            <w:tcW w:type="dxa" w:w="1800"/>
            <w:tcMar>
              <w:top w:w="90" w:type="dxa"/>
              <w:start w:w="120" w:type="dxa"/>
              <w:bottom w:w="90" w:type="dxa"/>
              <w:end w:w="120" w:type="dxa"/>
            </w:tcMar>
            <w:vAlign w:val="center"/>
            <w:shd w:fill="F4F6F9"/>
          </w:tcPr>
          <w:p>
            <w:pPr>
              <w:pStyle w:val="TableText"/>
              <w:jc w:val="left"/>
            </w:pPr>
            <w:r>
              <w:rPr>
                <w:rFonts w:ascii="Calibri" w:hAnsi="Calibri" w:eastAsia="Calibri"/>
                <w:b w:val="0"/>
                <w:color w:val="1F2933"/>
                <w:sz w:val="18"/>
              </w:rPr>
              <w:t>IPC/HAI</w:t>
            </w:r>
          </w:p>
        </w:tc>
        <w:tc>
          <w:tcPr>
            <w:tcW w:type="dxa" w:w="3500"/>
            <w:tcMar>
              <w:top w:w="90" w:type="dxa"/>
              <w:start w:w="120" w:type="dxa"/>
              <w:bottom w:w="90" w:type="dxa"/>
              <w:end w:w="120" w:type="dxa"/>
            </w:tcMar>
            <w:vAlign w:val="center"/>
            <w:shd w:fill="F4F6F9"/>
          </w:tcPr>
          <w:p>
            <w:pPr>
              <w:pStyle w:val="TableText"/>
              <w:jc w:val="left"/>
            </w:pPr>
            <w:r>
              <w:rPr>
                <w:rFonts w:ascii="Calibri" w:hAnsi="Calibri" w:eastAsia="Calibri"/>
                <w:b w:val="0"/>
                <w:color w:val="1F2933"/>
                <w:sz w:val="18"/>
              </w:rPr>
              <w:t>Facilities implementing IPC; HAI coverage; action completion</w:t>
            </w:r>
          </w:p>
        </w:tc>
        <w:tc>
          <w:tcPr>
            <w:tcW w:type="dxa" w:w="4060"/>
            <w:tcMar>
              <w:top w:w="90" w:type="dxa"/>
              <w:start w:w="120" w:type="dxa"/>
              <w:bottom w:w="90" w:type="dxa"/>
              <w:end w:w="120" w:type="dxa"/>
            </w:tcMar>
            <w:vAlign w:val="center"/>
            <w:shd w:fill="F4F6F9"/>
          </w:tcPr>
          <w:p>
            <w:pPr>
              <w:pStyle w:val="TableText"/>
              <w:jc w:val="left"/>
            </w:pPr>
            <w:r>
              <w:rPr>
                <w:rFonts w:ascii="Calibri" w:hAnsi="Calibri" w:eastAsia="Calibri"/>
                <w:b w:val="0"/>
                <w:color w:val="1F2933"/>
                <w:sz w:val="18"/>
              </w:rPr>
              <w:t>Monthly/quarterly</w:t>
            </w:r>
          </w:p>
        </w:tc>
      </w:tr>
      <w:tr>
        <w:trPr>
          <w:cantSplit w:val="true"/>
        </w:trPr>
        <w:tc>
          <w:tcPr>
            <w:tcW w:type="dxa" w:w="1800"/>
            <w:tcMar>
              <w:top w:w="90" w:type="dxa"/>
              <w:start w:w="120" w:type="dxa"/>
              <w:bottom w:w="90" w:type="dxa"/>
              <w:end w:w="120" w:type="dxa"/>
            </w:tcMar>
            <w:vAlign w:val="center"/>
          </w:tcPr>
          <w:p>
            <w:pPr>
              <w:pStyle w:val="TableText"/>
              <w:jc w:val="left"/>
            </w:pPr>
            <w:r>
              <w:rPr>
                <w:rFonts w:ascii="Calibri" w:hAnsi="Calibri" w:eastAsia="Calibri"/>
                <w:b w:val="0"/>
                <w:color w:val="1F2933"/>
                <w:sz w:val="18"/>
              </w:rPr>
              <w:t>One Health action</w:t>
            </w:r>
          </w:p>
        </w:tc>
        <w:tc>
          <w:tcPr>
            <w:tcW w:type="dxa" w:w="3500"/>
            <w:tcMar>
              <w:top w:w="90" w:type="dxa"/>
              <w:start w:w="120" w:type="dxa"/>
              <w:bottom w:w="90" w:type="dxa"/>
              <w:end w:w="120" w:type="dxa"/>
            </w:tcMar>
            <w:vAlign w:val="center"/>
          </w:tcPr>
          <w:p>
            <w:pPr>
              <w:pStyle w:val="TableText"/>
              <w:jc w:val="left"/>
            </w:pPr>
            <w:r>
              <w:rPr>
                <w:rFonts w:ascii="Calibri" w:hAnsi="Calibri" w:eastAsia="Calibri"/>
                <w:b w:val="0"/>
                <w:color w:val="1F2933"/>
                <w:sz w:val="18"/>
              </w:rPr>
              <w:t>Cross-sector investigations; acknowledgement/closure SLA; overdue actions</w:t>
            </w:r>
          </w:p>
        </w:tc>
        <w:tc>
          <w:tcPr>
            <w:tcW w:type="dxa" w:w="4060"/>
            <w:tcMar>
              <w:top w:w="90" w:type="dxa"/>
              <w:start w:w="120" w:type="dxa"/>
              <w:bottom w:w="90" w:type="dxa"/>
              <w:end w:w="120" w:type="dxa"/>
            </w:tcMar>
            <w:vAlign w:val="center"/>
          </w:tcPr>
          <w:p>
            <w:pPr>
              <w:pStyle w:val="TableText"/>
              <w:jc w:val="left"/>
            </w:pPr>
            <w:r>
              <w:rPr>
                <w:rFonts w:ascii="Calibri" w:hAnsi="Calibri" w:eastAsia="Calibri"/>
                <w:b w:val="0"/>
                <w:color w:val="1F2933"/>
                <w:sz w:val="18"/>
              </w:rPr>
              <w:t>Monthly</w:t>
            </w:r>
          </w:p>
        </w:tc>
      </w:tr>
      <w:tr>
        <w:trPr>
          <w:cantSplit w:val="true"/>
        </w:trPr>
        <w:tc>
          <w:tcPr>
            <w:tcW w:type="dxa" w:w="1800"/>
            <w:tcMar>
              <w:top w:w="90" w:type="dxa"/>
              <w:start w:w="120" w:type="dxa"/>
              <w:bottom w:w="90" w:type="dxa"/>
              <w:end w:w="120" w:type="dxa"/>
            </w:tcMar>
            <w:vAlign w:val="center"/>
            <w:shd w:fill="F4F6F9"/>
          </w:tcPr>
          <w:p>
            <w:pPr>
              <w:pStyle w:val="TableText"/>
              <w:jc w:val="left"/>
            </w:pPr>
            <w:r>
              <w:rPr>
                <w:rFonts w:ascii="Calibri" w:hAnsi="Calibri" w:eastAsia="Calibri"/>
                <w:b w:val="0"/>
                <w:color w:val="1F2933"/>
                <w:sz w:val="18"/>
              </w:rPr>
              <w:t>Programme delivery</w:t>
            </w:r>
          </w:p>
        </w:tc>
        <w:tc>
          <w:tcPr>
            <w:tcW w:type="dxa" w:w="3500"/>
            <w:tcMar>
              <w:top w:w="90" w:type="dxa"/>
              <w:start w:w="120" w:type="dxa"/>
              <w:bottom w:w="90" w:type="dxa"/>
              <w:end w:w="120" w:type="dxa"/>
            </w:tcMar>
            <w:vAlign w:val="center"/>
            <w:shd w:fill="F4F6F9"/>
          </w:tcPr>
          <w:p>
            <w:pPr>
              <w:pStyle w:val="TableText"/>
              <w:jc w:val="left"/>
            </w:pPr>
            <w:r>
              <w:rPr>
                <w:rFonts w:ascii="Calibri" w:hAnsi="Calibri" w:eastAsia="Calibri"/>
                <w:b w:val="0"/>
                <w:color w:val="1F2933"/>
                <w:sz w:val="18"/>
              </w:rPr>
              <w:t>Releases accepted, onboarding lead time, support SLA, adoption and user satisfaction</w:t>
            </w:r>
          </w:p>
        </w:tc>
        <w:tc>
          <w:tcPr>
            <w:tcW w:type="dxa" w:w="4060"/>
            <w:tcMar>
              <w:top w:w="90" w:type="dxa"/>
              <w:start w:w="120" w:type="dxa"/>
              <w:bottom w:w="90" w:type="dxa"/>
              <w:end w:w="120" w:type="dxa"/>
            </w:tcMar>
            <w:vAlign w:val="center"/>
            <w:shd w:fill="F4F6F9"/>
          </w:tcPr>
          <w:p>
            <w:pPr>
              <w:pStyle w:val="TableText"/>
              <w:jc w:val="left"/>
            </w:pPr>
            <w:r>
              <w:rPr>
                <w:rFonts w:ascii="Calibri" w:hAnsi="Calibri" w:eastAsia="Calibri"/>
                <w:b w:val="0"/>
                <w:color w:val="1F2933"/>
                <w:sz w:val="18"/>
              </w:rPr>
              <w:t>Monthly/quarterly</w:t>
            </w:r>
          </w:p>
        </w:tc>
      </w:tr>
      <w:tr>
        <w:trPr>
          <w:cantSplit w:val="true"/>
        </w:trPr>
        <w:tc>
          <w:tcPr>
            <w:tcW w:type="dxa" w:w="1800"/>
            <w:tcMar>
              <w:top w:w="90" w:type="dxa"/>
              <w:start w:w="120" w:type="dxa"/>
              <w:bottom w:w="90" w:type="dxa"/>
              <w:end w:w="120" w:type="dxa"/>
            </w:tcMar>
            <w:vAlign w:val="center"/>
          </w:tcPr>
          <w:p>
            <w:pPr>
              <w:pStyle w:val="TableText"/>
              <w:jc w:val="left"/>
            </w:pPr>
            <w:r>
              <w:rPr>
                <w:rFonts w:ascii="Calibri" w:hAnsi="Calibri" w:eastAsia="Calibri"/>
                <w:b w:val="0"/>
                <w:color w:val="1F2933"/>
                <w:sz w:val="18"/>
              </w:rPr>
              <w:t>Security/privacy</w:t>
            </w:r>
          </w:p>
        </w:tc>
        <w:tc>
          <w:tcPr>
            <w:tcW w:type="dxa" w:w="3500"/>
            <w:tcMar>
              <w:top w:w="90" w:type="dxa"/>
              <w:start w:w="120" w:type="dxa"/>
              <w:bottom w:w="90" w:type="dxa"/>
              <w:end w:w="120" w:type="dxa"/>
            </w:tcMar>
            <w:vAlign w:val="center"/>
          </w:tcPr>
          <w:p>
            <w:pPr>
              <w:pStyle w:val="TableText"/>
              <w:jc w:val="left"/>
            </w:pPr>
            <w:r>
              <w:rPr>
                <w:rFonts w:ascii="Calibri" w:hAnsi="Calibri" w:eastAsia="Calibri"/>
                <w:b w:val="0"/>
                <w:color w:val="1F2933"/>
                <w:sz w:val="18"/>
              </w:rPr>
              <w:t>Critical vulnerabilities, incidents, access reviews, DPIAs and audit findings closed</w:t>
            </w:r>
          </w:p>
        </w:tc>
        <w:tc>
          <w:tcPr>
            <w:tcW w:type="dxa" w:w="4060"/>
            <w:tcMar>
              <w:top w:w="90" w:type="dxa"/>
              <w:start w:w="120" w:type="dxa"/>
              <w:bottom w:w="90" w:type="dxa"/>
              <w:end w:w="120" w:type="dxa"/>
            </w:tcMar>
            <w:vAlign w:val="center"/>
          </w:tcPr>
          <w:p>
            <w:pPr>
              <w:pStyle w:val="TableText"/>
              <w:jc w:val="left"/>
            </w:pPr>
            <w:r>
              <w:rPr>
                <w:rFonts w:ascii="Calibri" w:hAnsi="Calibri" w:eastAsia="Calibri"/>
                <w:b w:val="0"/>
                <w:color w:val="1F2933"/>
                <w:sz w:val="18"/>
              </w:rPr>
              <w:t>Monthly/quarterly</w:t>
            </w:r>
          </w:p>
        </w:tc>
      </w:tr>
      <w:tr>
        <w:trPr>
          <w:cantSplit w:val="true"/>
        </w:trPr>
        <w:tc>
          <w:tcPr>
            <w:tcW w:type="dxa" w:w="1800"/>
            <w:tcMar>
              <w:top w:w="90" w:type="dxa"/>
              <w:start w:w="120" w:type="dxa"/>
              <w:bottom w:w="90" w:type="dxa"/>
              <w:end w:w="120" w:type="dxa"/>
            </w:tcMar>
            <w:vAlign w:val="center"/>
            <w:shd w:fill="F4F6F9"/>
          </w:tcPr>
          <w:p>
            <w:pPr>
              <w:pStyle w:val="TableText"/>
              <w:jc w:val="left"/>
            </w:pPr>
            <w:r>
              <w:rPr>
                <w:rFonts w:ascii="Calibri" w:hAnsi="Calibri" w:eastAsia="Calibri"/>
                <w:b w:val="0"/>
                <w:color w:val="1F2933"/>
                <w:sz w:val="18"/>
              </w:rPr>
              <w:t>International reporting</w:t>
            </w:r>
          </w:p>
        </w:tc>
        <w:tc>
          <w:tcPr>
            <w:tcW w:type="dxa" w:w="3500"/>
            <w:tcMar>
              <w:top w:w="90" w:type="dxa"/>
              <w:start w:w="120" w:type="dxa"/>
              <w:bottom w:w="90" w:type="dxa"/>
              <w:end w:w="120" w:type="dxa"/>
            </w:tcMar>
            <w:vAlign w:val="center"/>
            <w:shd w:fill="F4F6F9"/>
          </w:tcPr>
          <w:p>
            <w:pPr>
              <w:pStyle w:val="TableText"/>
              <w:jc w:val="left"/>
            </w:pPr>
            <w:r>
              <w:rPr>
                <w:rFonts w:ascii="Calibri" w:hAnsi="Calibri" w:eastAsia="Calibri"/>
                <w:b w:val="0"/>
                <w:color w:val="1F2933"/>
                <w:sz w:val="18"/>
              </w:rPr>
              <w:t>GLASS/ANIMUSE/InFARM packages accepted with reproducible audit trail</w:t>
            </w:r>
          </w:p>
        </w:tc>
        <w:tc>
          <w:tcPr>
            <w:tcW w:type="dxa" w:w="4060"/>
            <w:tcMar>
              <w:top w:w="90" w:type="dxa"/>
              <w:start w:w="120" w:type="dxa"/>
              <w:bottom w:w="90" w:type="dxa"/>
              <w:end w:w="120" w:type="dxa"/>
            </w:tcMar>
            <w:vAlign w:val="center"/>
            <w:shd w:fill="F4F6F9"/>
          </w:tcPr>
          <w:p>
            <w:pPr>
              <w:pStyle w:val="TableText"/>
              <w:jc w:val="left"/>
            </w:pPr>
            <w:r>
              <w:rPr>
                <w:rFonts w:ascii="Calibri" w:hAnsi="Calibri" w:eastAsia="Calibri"/>
                <w:b w:val="0"/>
                <w:color w:val="1F2933"/>
                <w:sz w:val="18"/>
              </w:rPr>
              <w:t>Annual</w:t>
            </w:r>
          </w:p>
        </w:tc>
      </w:tr>
    </w:tbl>
    <w:p>
      <w:pPr>
        <w:spacing w:after="40"/>
      </w:pPr>
    </w:p>
    <w:p>
      <w:pPr>
        <w:pStyle w:val="Heading2"/>
      </w:pPr>
      <w:r>
        <w:rPr>
          <w:rFonts w:ascii="Calibri" w:hAnsi="Calibri" w:eastAsia="Calibri"/>
          <w:b/>
          <w:color w:val="2E74B5"/>
          <w:sz w:val="26"/>
        </w:rPr>
        <w:t>14.2 Guardrail metrics</w:t>
      </w:r>
    </w:p>
    <w:p>
      <w:pPr>
        <w:jc w:val="left"/>
        <w:numPr>
          <w:ilvl w:val="0"/>
          <w:numId w:val="10"/>
        </w:numPr>
      </w:pPr>
      <w:r>
        <w:rPr>
          <w:rFonts w:ascii="Calibri" w:hAnsi="Calibri" w:eastAsia="Calibri"/>
          <w:b w:val="0"/>
          <w:color w:val="1F2933"/>
        </w:rPr>
        <w:t>No incentive to increase sample rejection or suppress difficult cases to improve quality scores.</w:t>
      </w:r>
    </w:p>
    <w:p>
      <w:pPr>
        <w:jc w:val="left"/>
        <w:numPr>
          <w:ilvl w:val="0"/>
          <w:numId w:val="10"/>
        </w:numPr>
      </w:pPr>
      <w:r>
        <w:rPr>
          <w:rFonts w:ascii="Calibri" w:hAnsi="Calibri" w:eastAsia="Calibri"/>
          <w:b w:val="0"/>
          <w:color w:val="1F2933"/>
        </w:rPr>
        <w:t>No ranking of facilities without case-mix, sampling and coverage context.</w:t>
      </w:r>
    </w:p>
    <w:p>
      <w:pPr>
        <w:jc w:val="left"/>
        <w:numPr>
          <w:ilvl w:val="0"/>
          <w:numId w:val="10"/>
        </w:numPr>
      </w:pPr>
      <w:r>
        <w:rPr>
          <w:rFonts w:ascii="Calibri" w:hAnsi="Calibri" w:eastAsia="Calibri"/>
          <w:b w:val="0"/>
          <w:color w:val="1F2933"/>
        </w:rPr>
        <w:t>No public small-area reporting below disclosure thresholds.</w:t>
      </w:r>
    </w:p>
    <w:p>
      <w:pPr>
        <w:jc w:val="left"/>
        <w:numPr>
          <w:ilvl w:val="0"/>
          <w:numId w:val="10"/>
        </w:numPr>
      </w:pPr>
      <w:r>
        <w:rPr>
          <w:rFonts w:ascii="Calibri" w:hAnsi="Calibri" w:eastAsia="Calibri"/>
          <w:b w:val="0"/>
          <w:color w:val="1F2933"/>
        </w:rPr>
        <w:t>No automated punitive action from an unverified algorithmic alert.</w:t>
      </w:r>
    </w:p>
    <w:p>
      <w:pPr>
        <w:jc w:val="left"/>
        <w:numPr>
          <w:ilvl w:val="0"/>
          <w:numId w:val="10"/>
        </w:numPr>
      </w:pPr>
      <w:r>
        <w:rPr>
          <w:rFonts w:ascii="Calibri" w:hAnsi="Calibri" w:eastAsia="Calibri"/>
          <w:b w:val="0"/>
          <w:color w:val="1F2933"/>
        </w:rPr>
        <w:t>Monitor workload, duplicate entry, alert fatigue, inequitable coverage and unintended antimicrobial restriction.</w:t>
      </w:r>
    </w:p>
    <w:p>
      <w:pPr>
        <w:pStyle w:val="Heading2"/>
      </w:pPr>
      <w:r>
        <w:rPr>
          <w:rFonts w:ascii="Calibri" w:hAnsi="Calibri" w:eastAsia="Calibri"/>
          <w:b/>
          <w:color w:val="2E74B5"/>
          <w:sz w:val="26"/>
        </w:rPr>
        <w:t>14.3 Learning loop</w:t>
      </w:r>
    </w:p>
    <w:p>
      <w:r>
        <w:rPr>
          <w:rFonts w:ascii="Calibri" w:hAnsi="Calibri" w:eastAsia="Calibri"/>
          <w:b w:val="0"/>
          <w:color w:val="1F2933"/>
        </w:rPr>
        <w:t>Every quarter, the Mission Unit should publish a change log describing: evidence reviewed, user feedback, incidents, indicator changes, terminology/breakpoint updates, retired features, open risks and next-quarter decisions. Annual evaluation should include independent scientific, security, privacy, economic and implementation reviews.</w:t>
      </w:r>
    </w:p>
    <w:p>
      <w:pPr>
        <w:pStyle w:val="Heading1"/>
      </w:pPr>
      <w:r>
        <w:rPr>
          <w:rFonts w:ascii="Calibri" w:hAnsi="Calibri" w:eastAsia="Calibri"/>
          <w:b/>
          <w:color w:val="2E74B5"/>
          <w:sz w:val="32"/>
        </w:rPr>
        <w:t>15. Risk register</w:t>
      </w:r>
    </w:p>
    <w:tbl>
      <w:tblPr>
        <w:tblW w:type="dxa" w:w="9360"/>
        <w:jc w:val="left"/>
        <w:tblLayout w:type="fixed"/>
        <w:tblLook w:firstColumn="1" w:firstRow="1" w:lastColumn="0" w:lastRow="0" w:noHBand="0" w:noVBand="1" w:val="04A0"/>
        <w:tblInd w:w="120" w:type="dxa"/>
        <w:tblBorders>
          <w:top w:val="single" w:sz="6" w:space="0" w:color="D9E1E8"/>
          <w:left w:val="single" w:sz="6" w:space="0" w:color="D9E1E8"/>
          <w:bottom w:val="single" w:sz="6" w:space="0" w:color="D9E1E8"/>
          <w:right w:val="single" w:sz="6" w:space="0" w:color="D9E1E8"/>
          <w:insideH w:val="single" w:sz="6" w:space="0" w:color="D9E1E8"/>
          <w:insideV w:val="single" w:sz="6" w:space="0" w:color="D9E1E8"/>
        </w:tblBorders>
      </w:tblPr>
      <w:tblGrid>
        <w:gridCol w:w="1850"/>
        <w:gridCol w:w="1700"/>
        <w:gridCol w:w="2910"/>
        <w:gridCol w:w="2900"/>
      </w:tblGrid>
      <w:tr>
        <w:trPr>
          <w:tblHeader w:val="true"/>
          <w:cantSplit w:val="true"/>
        </w:trPr>
        <w:tc>
          <w:tcPr>
            <w:tcW w:type="dxa" w:w="1850"/>
            <w:tcMar>
              <w:top w:w="90" w:type="dxa"/>
              <w:start w:w="120" w:type="dxa"/>
              <w:bottom w:w="90" w:type="dxa"/>
              <w:end w:w="120" w:type="dxa"/>
            </w:tcMar>
            <w:vAlign w:val="center"/>
            <w:shd w:fill="17365D"/>
          </w:tcPr>
          <w:p>
            <w:pPr>
              <w:pStyle w:val="TableText"/>
              <w:jc w:val="left"/>
            </w:pPr>
            <w:r>
              <w:rPr>
                <w:rFonts w:ascii="Calibri" w:hAnsi="Calibri" w:eastAsia="Calibri"/>
                <w:b/>
                <w:color w:val="FFFFFF"/>
                <w:sz w:val="18"/>
              </w:rPr>
              <w:t>Risk</w:t>
            </w:r>
          </w:p>
        </w:tc>
        <w:tc>
          <w:tcPr>
            <w:tcW w:type="dxa" w:w="1700"/>
            <w:tcMar>
              <w:top w:w="90" w:type="dxa"/>
              <w:start w:w="120" w:type="dxa"/>
              <w:bottom w:w="90" w:type="dxa"/>
              <w:end w:w="120" w:type="dxa"/>
            </w:tcMar>
            <w:vAlign w:val="center"/>
            <w:shd w:fill="17365D"/>
          </w:tcPr>
          <w:p>
            <w:pPr>
              <w:pStyle w:val="TableText"/>
              <w:jc w:val="left"/>
            </w:pPr>
            <w:r>
              <w:rPr>
                <w:rFonts w:ascii="Calibri" w:hAnsi="Calibri" w:eastAsia="Calibri"/>
                <w:b/>
                <w:color w:val="FFFFFF"/>
                <w:sz w:val="18"/>
              </w:rPr>
              <w:t>Likelihood/impact</w:t>
            </w:r>
          </w:p>
        </w:tc>
        <w:tc>
          <w:tcPr>
            <w:tcW w:type="dxa" w:w="2910"/>
            <w:tcMar>
              <w:top w:w="90" w:type="dxa"/>
              <w:start w:w="120" w:type="dxa"/>
              <w:bottom w:w="90" w:type="dxa"/>
              <w:end w:w="120" w:type="dxa"/>
            </w:tcMar>
            <w:vAlign w:val="center"/>
            <w:shd w:fill="17365D"/>
          </w:tcPr>
          <w:p>
            <w:pPr>
              <w:pStyle w:val="TableText"/>
              <w:jc w:val="left"/>
            </w:pPr>
            <w:r>
              <w:rPr>
                <w:rFonts w:ascii="Calibri" w:hAnsi="Calibri" w:eastAsia="Calibri"/>
                <w:b/>
                <w:color w:val="FFFFFF"/>
                <w:sz w:val="18"/>
              </w:rPr>
              <w:t>Mitigation</w:t>
            </w:r>
          </w:p>
        </w:tc>
        <w:tc>
          <w:tcPr>
            <w:tcW w:type="dxa" w:w="2900"/>
            <w:tcMar>
              <w:top w:w="90" w:type="dxa"/>
              <w:start w:w="120" w:type="dxa"/>
              <w:bottom w:w="90" w:type="dxa"/>
              <w:end w:w="120" w:type="dxa"/>
            </w:tcMar>
            <w:vAlign w:val="center"/>
            <w:shd w:fill="17365D"/>
          </w:tcPr>
          <w:p>
            <w:pPr>
              <w:pStyle w:val="TableText"/>
              <w:jc w:val="left"/>
            </w:pPr>
            <w:r>
              <w:rPr>
                <w:rFonts w:ascii="Calibri" w:hAnsi="Calibri" w:eastAsia="Calibri"/>
                <w:b/>
                <w:color w:val="FFFFFF"/>
                <w:sz w:val="18"/>
              </w:rPr>
              <w:t>Early warning</w:t>
            </w:r>
          </w:p>
        </w:tc>
      </w:tr>
      <w:tr>
        <w:trPr>
          <w:cantSplit w:val="true"/>
        </w:trPr>
        <w:tc>
          <w:tcPr>
            <w:tcW w:type="dxa" w:w="1850"/>
            <w:tcMar>
              <w:top w:w="90" w:type="dxa"/>
              <w:start w:w="120" w:type="dxa"/>
              <w:bottom w:w="90" w:type="dxa"/>
              <w:end w:w="120" w:type="dxa"/>
            </w:tcMar>
            <w:vAlign w:val="center"/>
          </w:tcPr>
          <w:p>
            <w:pPr>
              <w:pStyle w:val="TableText"/>
              <w:jc w:val="left"/>
            </w:pPr>
            <w:r>
              <w:rPr>
                <w:rFonts w:ascii="Calibri" w:hAnsi="Calibri" w:eastAsia="Calibri"/>
                <w:b w:val="0"/>
                <w:color w:val="1F2933"/>
                <w:sz w:val="18"/>
              </w:rPr>
              <w:t>Dashboard built without reliable sector data</w:t>
            </w:r>
          </w:p>
        </w:tc>
        <w:tc>
          <w:tcPr>
            <w:tcW w:type="dxa" w:w="1700"/>
            <w:tcMar>
              <w:top w:w="90" w:type="dxa"/>
              <w:start w:w="120" w:type="dxa"/>
              <w:bottom w:w="90" w:type="dxa"/>
              <w:end w:w="120" w:type="dxa"/>
            </w:tcMar>
            <w:vAlign w:val="center"/>
          </w:tcPr>
          <w:p>
            <w:pPr>
              <w:pStyle w:val="TableText"/>
              <w:jc w:val="left"/>
            </w:pPr>
            <w:r>
              <w:rPr>
                <w:rFonts w:ascii="Calibri" w:hAnsi="Calibri" w:eastAsia="Calibri"/>
                <w:b w:val="0"/>
                <w:color w:val="1F2933"/>
                <w:sz w:val="18"/>
              </w:rPr>
              <w:t>High/High</w:t>
            </w:r>
          </w:p>
        </w:tc>
        <w:tc>
          <w:tcPr>
            <w:tcW w:type="dxa" w:w="2910"/>
            <w:tcMar>
              <w:top w:w="90" w:type="dxa"/>
              <w:start w:w="120" w:type="dxa"/>
              <w:bottom w:w="90" w:type="dxa"/>
              <w:end w:w="120" w:type="dxa"/>
            </w:tcMar>
            <w:vAlign w:val="center"/>
          </w:tcPr>
          <w:p>
            <w:pPr>
              <w:pStyle w:val="TableText"/>
              <w:jc w:val="left"/>
            </w:pPr>
            <w:r>
              <w:rPr>
                <w:rFonts w:ascii="Calibri" w:hAnsi="Calibri" w:eastAsia="Calibri"/>
                <w:b w:val="0"/>
                <w:color w:val="1F2933"/>
                <w:sz w:val="18"/>
              </w:rPr>
              <w:t>Phase gates, data-quality certification, sampling framework</w:t>
            </w:r>
          </w:p>
        </w:tc>
        <w:tc>
          <w:tcPr>
            <w:tcW w:type="dxa" w:w="2900"/>
            <w:tcMar>
              <w:top w:w="90" w:type="dxa"/>
              <w:start w:w="120" w:type="dxa"/>
              <w:bottom w:w="90" w:type="dxa"/>
              <w:end w:w="120" w:type="dxa"/>
            </w:tcMar>
            <w:vAlign w:val="center"/>
          </w:tcPr>
          <w:p>
            <w:pPr>
              <w:pStyle w:val="TableText"/>
              <w:jc w:val="left"/>
            </w:pPr>
            <w:r>
              <w:rPr>
                <w:rFonts w:ascii="Calibri" w:hAnsi="Calibri" w:eastAsia="Calibri"/>
                <w:b w:val="0"/>
                <w:color w:val="1F2933"/>
                <w:sz w:val="18"/>
              </w:rPr>
              <w:t>High missingness, unstable denominators</w:t>
            </w:r>
          </w:p>
        </w:tc>
      </w:tr>
      <w:tr>
        <w:trPr>
          <w:cantSplit w:val="true"/>
        </w:trPr>
        <w:tc>
          <w:tcPr>
            <w:tcW w:type="dxa" w:w="1850"/>
            <w:tcMar>
              <w:top w:w="90" w:type="dxa"/>
              <w:start w:w="120" w:type="dxa"/>
              <w:bottom w:w="90" w:type="dxa"/>
              <w:end w:w="120" w:type="dxa"/>
            </w:tcMar>
            <w:vAlign w:val="center"/>
            <w:shd w:fill="F4F6F9"/>
          </w:tcPr>
          <w:p>
            <w:pPr>
              <w:pStyle w:val="TableText"/>
              <w:jc w:val="left"/>
            </w:pPr>
            <w:r>
              <w:rPr>
                <w:rFonts w:ascii="Calibri" w:hAnsi="Calibri" w:eastAsia="Calibri"/>
                <w:b w:val="0"/>
                <w:color w:val="1F2933"/>
                <w:sz w:val="18"/>
              </w:rPr>
              <w:t>State/sector ownership unclear</w:t>
            </w:r>
          </w:p>
        </w:tc>
        <w:tc>
          <w:tcPr>
            <w:tcW w:type="dxa" w:w="1700"/>
            <w:tcMar>
              <w:top w:w="90" w:type="dxa"/>
              <w:start w:w="120" w:type="dxa"/>
              <w:bottom w:w="90" w:type="dxa"/>
              <w:end w:w="120" w:type="dxa"/>
            </w:tcMar>
            <w:vAlign w:val="center"/>
            <w:shd w:fill="F4F6F9"/>
          </w:tcPr>
          <w:p>
            <w:pPr>
              <w:pStyle w:val="TableText"/>
              <w:jc w:val="left"/>
            </w:pPr>
            <w:r>
              <w:rPr>
                <w:rFonts w:ascii="Calibri" w:hAnsi="Calibri" w:eastAsia="Calibri"/>
                <w:b w:val="0"/>
                <w:color w:val="1F2933"/>
                <w:sz w:val="18"/>
              </w:rPr>
              <w:t>High/High</w:t>
            </w:r>
          </w:p>
        </w:tc>
        <w:tc>
          <w:tcPr>
            <w:tcW w:type="dxa" w:w="2910"/>
            <w:tcMar>
              <w:top w:w="90" w:type="dxa"/>
              <w:start w:w="120" w:type="dxa"/>
              <w:bottom w:w="90" w:type="dxa"/>
              <w:end w:w="120" w:type="dxa"/>
            </w:tcMar>
            <w:vAlign w:val="center"/>
            <w:shd w:fill="F4F6F9"/>
          </w:tcPr>
          <w:p>
            <w:pPr>
              <w:pStyle w:val="TableText"/>
              <w:jc w:val="left"/>
            </w:pPr>
            <w:r>
              <w:rPr>
                <w:rFonts w:ascii="Calibri" w:hAnsi="Calibri" w:eastAsia="Calibri"/>
                <w:b w:val="0"/>
                <w:color w:val="1F2933"/>
                <w:sz w:val="18"/>
              </w:rPr>
              <w:t>Formal charter, named data owners, funded units</w:t>
            </w:r>
          </w:p>
        </w:tc>
        <w:tc>
          <w:tcPr>
            <w:tcW w:type="dxa" w:w="2900"/>
            <w:tcMar>
              <w:top w:w="90" w:type="dxa"/>
              <w:start w:w="120" w:type="dxa"/>
              <w:bottom w:w="90" w:type="dxa"/>
              <w:end w:w="120" w:type="dxa"/>
            </w:tcMar>
            <w:vAlign w:val="center"/>
            <w:shd w:fill="F4F6F9"/>
          </w:tcPr>
          <w:p>
            <w:pPr>
              <w:pStyle w:val="TableText"/>
              <w:jc w:val="left"/>
            </w:pPr>
            <w:r>
              <w:rPr>
                <w:rFonts w:ascii="Calibri" w:hAnsi="Calibri" w:eastAsia="Calibri"/>
                <w:b w:val="0"/>
                <w:color w:val="1F2933"/>
                <w:sz w:val="18"/>
              </w:rPr>
              <w:t>Meetings without decisions; unowned actions</w:t>
            </w:r>
          </w:p>
        </w:tc>
      </w:tr>
      <w:tr>
        <w:trPr>
          <w:cantSplit w:val="true"/>
        </w:trPr>
        <w:tc>
          <w:tcPr>
            <w:tcW w:type="dxa" w:w="1850"/>
            <w:tcMar>
              <w:top w:w="90" w:type="dxa"/>
              <w:start w:w="120" w:type="dxa"/>
              <w:bottom w:w="90" w:type="dxa"/>
              <w:end w:w="120" w:type="dxa"/>
            </w:tcMar>
            <w:vAlign w:val="center"/>
          </w:tcPr>
          <w:p>
            <w:pPr>
              <w:pStyle w:val="TableText"/>
              <w:jc w:val="left"/>
            </w:pPr>
            <w:r>
              <w:rPr>
                <w:rFonts w:ascii="Calibri" w:hAnsi="Calibri" w:eastAsia="Calibri"/>
                <w:b w:val="0"/>
                <w:color w:val="1F2933"/>
                <w:sz w:val="18"/>
              </w:rPr>
              <w:t>Duplicate reporting burden</w:t>
            </w:r>
          </w:p>
        </w:tc>
        <w:tc>
          <w:tcPr>
            <w:tcW w:type="dxa" w:w="1700"/>
            <w:tcMar>
              <w:top w:w="90" w:type="dxa"/>
              <w:start w:w="120" w:type="dxa"/>
              <w:bottom w:w="90" w:type="dxa"/>
              <w:end w:w="120" w:type="dxa"/>
            </w:tcMar>
            <w:vAlign w:val="center"/>
          </w:tcPr>
          <w:p>
            <w:pPr>
              <w:pStyle w:val="TableText"/>
              <w:jc w:val="left"/>
            </w:pPr>
            <w:r>
              <w:rPr>
                <w:rFonts w:ascii="Calibri" w:hAnsi="Calibri" w:eastAsia="Calibri"/>
                <w:b w:val="0"/>
                <w:color w:val="1F2933"/>
                <w:sz w:val="18"/>
              </w:rPr>
              <w:t>High/High</w:t>
            </w:r>
          </w:p>
        </w:tc>
        <w:tc>
          <w:tcPr>
            <w:tcW w:type="dxa" w:w="2910"/>
            <w:tcMar>
              <w:top w:w="90" w:type="dxa"/>
              <w:start w:w="120" w:type="dxa"/>
              <w:bottom w:w="90" w:type="dxa"/>
              <w:end w:w="120" w:type="dxa"/>
            </w:tcMar>
            <w:vAlign w:val="center"/>
          </w:tcPr>
          <w:p>
            <w:pPr>
              <w:pStyle w:val="TableText"/>
              <w:jc w:val="left"/>
            </w:pPr>
            <w:r>
              <w:rPr>
                <w:rFonts w:ascii="Calibri" w:hAnsi="Calibri" w:eastAsia="Calibri"/>
                <w:b w:val="0"/>
                <w:color w:val="1F2933"/>
                <w:sz w:val="18"/>
              </w:rPr>
              <w:t>Integrate existing systems, local value, retire redundant forms</w:t>
            </w:r>
          </w:p>
        </w:tc>
        <w:tc>
          <w:tcPr>
            <w:tcW w:type="dxa" w:w="2900"/>
            <w:tcMar>
              <w:top w:w="90" w:type="dxa"/>
              <w:start w:w="120" w:type="dxa"/>
              <w:bottom w:w="90" w:type="dxa"/>
              <w:end w:w="120" w:type="dxa"/>
            </w:tcMar>
            <w:vAlign w:val="center"/>
          </w:tcPr>
          <w:p>
            <w:pPr>
              <w:pStyle w:val="TableText"/>
              <w:jc w:val="left"/>
            </w:pPr>
            <w:r>
              <w:rPr>
                <w:rFonts w:ascii="Calibri" w:hAnsi="Calibri" w:eastAsia="Calibri"/>
                <w:b w:val="0"/>
                <w:color w:val="1F2933"/>
                <w:sz w:val="18"/>
              </w:rPr>
              <w:t>Manual re-entry hours, low active use</w:t>
            </w:r>
          </w:p>
        </w:tc>
      </w:tr>
      <w:tr>
        <w:trPr>
          <w:cantSplit w:val="true"/>
        </w:trPr>
        <w:tc>
          <w:tcPr>
            <w:tcW w:type="dxa" w:w="1850"/>
            <w:tcMar>
              <w:top w:w="90" w:type="dxa"/>
              <w:start w:w="120" w:type="dxa"/>
              <w:bottom w:w="90" w:type="dxa"/>
              <w:end w:w="120" w:type="dxa"/>
            </w:tcMar>
            <w:vAlign w:val="center"/>
            <w:shd w:fill="F4F6F9"/>
          </w:tcPr>
          <w:p>
            <w:pPr>
              <w:pStyle w:val="TableText"/>
              <w:jc w:val="left"/>
            </w:pPr>
            <w:r>
              <w:rPr>
                <w:rFonts w:ascii="Calibri" w:hAnsi="Calibri" w:eastAsia="Calibri"/>
                <w:b w:val="0"/>
                <w:color w:val="1F2933"/>
                <w:sz w:val="18"/>
              </w:rPr>
              <w:t>Convenience samples mislabelled national</w:t>
            </w:r>
          </w:p>
        </w:tc>
        <w:tc>
          <w:tcPr>
            <w:tcW w:type="dxa" w:w="1700"/>
            <w:tcMar>
              <w:top w:w="90" w:type="dxa"/>
              <w:start w:w="120" w:type="dxa"/>
              <w:bottom w:w="90" w:type="dxa"/>
              <w:end w:w="120" w:type="dxa"/>
            </w:tcMar>
            <w:vAlign w:val="center"/>
            <w:shd w:fill="F4F6F9"/>
          </w:tcPr>
          <w:p>
            <w:pPr>
              <w:pStyle w:val="TableText"/>
              <w:jc w:val="left"/>
            </w:pPr>
            <w:r>
              <w:rPr>
                <w:rFonts w:ascii="Calibri" w:hAnsi="Calibri" w:eastAsia="Calibri"/>
                <w:b w:val="0"/>
                <w:color w:val="1F2933"/>
                <w:sz w:val="18"/>
              </w:rPr>
              <w:t>High/High</w:t>
            </w:r>
          </w:p>
        </w:tc>
        <w:tc>
          <w:tcPr>
            <w:tcW w:type="dxa" w:w="2910"/>
            <w:tcMar>
              <w:top w:w="90" w:type="dxa"/>
              <w:start w:w="120" w:type="dxa"/>
              <w:bottom w:w="90" w:type="dxa"/>
              <w:end w:w="120" w:type="dxa"/>
            </w:tcMar>
            <w:vAlign w:val="center"/>
            <w:shd w:fill="F4F6F9"/>
          </w:tcPr>
          <w:p>
            <w:pPr>
              <w:pStyle w:val="TableText"/>
              <w:jc w:val="left"/>
            </w:pPr>
            <w:r>
              <w:rPr>
                <w:rFonts w:ascii="Calibri" w:hAnsi="Calibri" w:eastAsia="Calibri"/>
                <w:b w:val="0"/>
                <w:color w:val="1F2933"/>
                <w:sz w:val="18"/>
              </w:rPr>
              <w:t>Representativeness framework and mandatory coverage display</w:t>
            </w:r>
          </w:p>
        </w:tc>
        <w:tc>
          <w:tcPr>
            <w:tcW w:type="dxa" w:w="2900"/>
            <w:tcMar>
              <w:top w:w="90" w:type="dxa"/>
              <w:start w:w="120" w:type="dxa"/>
              <w:bottom w:w="90" w:type="dxa"/>
              <w:end w:w="120" w:type="dxa"/>
            </w:tcMar>
            <w:vAlign w:val="center"/>
            <w:shd w:fill="F4F6F9"/>
          </w:tcPr>
          <w:p>
            <w:pPr>
              <w:pStyle w:val="TableText"/>
              <w:jc w:val="left"/>
            </w:pPr>
            <w:r>
              <w:rPr>
                <w:rFonts w:ascii="Calibri" w:hAnsi="Calibri" w:eastAsia="Calibri"/>
                <w:b w:val="0"/>
                <w:color w:val="1F2933"/>
                <w:sz w:val="18"/>
              </w:rPr>
              <w:t>Large site mix shifts, unsupported national rates</w:t>
            </w:r>
          </w:p>
        </w:tc>
      </w:tr>
      <w:tr>
        <w:trPr>
          <w:cantSplit w:val="true"/>
        </w:trPr>
        <w:tc>
          <w:tcPr>
            <w:tcW w:type="dxa" w:w="1850"/>
            <w:tcMar>
              <w:top w:w="90" w:type="dxa"/>
              <w:start w:w="120" w:type="dxa"/>
              <w:bottom w:w="90" w:type="dxa"/>
              <w:end w:w="120" w:type="dxa"/>
            </w:tcMar>
            <w:vAlign w:val="center"/>
          </w:tcPr>
          <w:p>
            <w:pPr>
              <w:pStyle w:val="TableText"/>
              <w:jc w:val="left"/>
            </w:pPr>
            <w:r>
              <w:rPr>
                <w:rFonts w:ascii="Calibri" w:hAnsi="Calibri" w:eastAsia="Calibri"/>
                <w:b w:val="0"/>
                <w:color w:val="1F2933"/>
                <w:sz w:val="18"/>
              </w:rPr>
              <w:t>Small-cell or location re-identification</w:t>
            </w:r>
          </w:p>
        </w:tc>
        <w:tc>
          <w:tcPr>
            <w:tcW w:type="dxa" w:w="1700"/>
            <w:tcMar>
              <w:top w:w="90" w:type="dxa"/>
              <w:start w:w="120" w:type="dxa"/>
              <w:bottom w:w="90" w:type="dxa"/>
              <w:end w:w="120" w:type="dxa"/>
            </w:tcMar>
            <w:vAlign w:val="center"/>
          </w:tcPr>
          <w:p>
            <w:pPr>
              <w:pStyle w:val="TableText"/>
              <w:jc w:val="left"/>
            </w:pPr>
            <w:r>
              <w:rPr>
                <w:rFonts w:ascii="Calibri" w:hAnsi="Calibri" w:eastAsia="Calibri"/>
                <w:b w:val="0"/>
                <w:color w:val="1F2933"/>
                <w:sz w:val="18"/>
              </w:rPr>
              <w:t>Medium/High</w:t>
            </w:r>
          </w:p>
        </w:tc>
        <w:tc>
          <w:tcPr>
            <w:tcW w:type="dxa" w:w="2910"/>
            <w:tcMar>
              <w:top w:w="90" w:type="dxa"/>
              <w:start w:w="120" w:type="dxa"/>
              <w:bottom w:w="90" w:type="dxa"/>
              <w:end w:w="120" w:type="dxa"/>
            </w:tcMar>
            <w:vAlign w:val="center"/>
          </w:tcPr>
          <w:p>
            <w:pPr>
              <w:pStyle w:val="TableText"/>
              <w:jc w:val="left"/>
            </w:pPr>
            <w:r>
              <w:rPr>
                <w:rFonts w:ascii="Calibri" w:hAnsi="Calibri" w:eastAsia="Calibri"/>
                <w:b w:val="0"/>
                <w:color w:val="1F2933"/>
                <w:sz w:val="18"/>
              </w:rPr>
              <w:t>Query history, suppression, coarsening, release review</w:t>
            </w:r>
          </w:p>
        </w:tc>
        <w:tc>
          <w:tcPr>
            <w:tcW w:type="dxa" w:w="2900"/>
            <w:tcMar>
              <w:top w:w="90" w:type="dxa"/>
              <w:start w:w="120" w:type="dxa"/>
              <w:bottom w:w="90" w:type="dxa"/>
              <w:end w:w="120" w:type="dxa"/>
            </w:tcMar>
            <w:vAlign w:val="center"/>
          </w:tcPr>
          <w:p>
            <w:pPr>
              <w:pStyle w:val="TableText"/>
              <w:jc w:val="left"/>
            </w:pPr>
            <w:r>
              <w:rPr>
                <w:rFonts w:ascii="Calibri" w:hAnsi="Calibri" w:eastAsia="Calibri"/>
                <w:b w:val="0"/>
                <w:color w:val="1F2933"/>
                <w:sz w:val="18"/>
              </w:rPr>
              <w:t>Repeated overlapping queries</w:t>
            </w:r>
          </w:p>
        </w:tc>
      </w:tr>
      <w:tr>
        <w:trPr>
          <w:cantSplit w:val="true"/>
        </w:trPr>
        <w:tc>
          <w:tcPr>
            <w:tcW w:type="dxa" w:w="1850"/>
            <w:tcMar>
              <w:top w:w="90" w:type="dxa"/>
              <w:start w:w="120" w:type="dxa"/>
              <w:bottom w:w="90" w:type="dxa"/>
              <w:end w:w="120" w:type="dxa"/>
            </w:tcMar>
            <w:vAlign w:val="center"/>
            <w:shd w:fill="F4F6F9"/>
          </w:tcPr>
          <w:p>
            <w:pPr>
              <w:pStyle w:val="TableText"/>
              <w:jc w:val="left"/>
            </w:pPr>
            <w:r>
              <w:rPr>
                <w:rFonts w:ascii="Calibri" w:hAnsi="Calibri" w:eastAsia="Calibri"/>
                <w:b w:val="0"/>
                <w:color w:val="1F2933"/>
                <w:sz w:val="18"/>
              </w:rPr>
              <w:t>Weak device/server security</w:t>
            </w:r>
          </w:p>
        </w:tc>
        <w:tc>
          <w:tcPr>
            <w:tcW w:type="dxa" w:w="1700"/>
            <w:tcMar>
              <w:top w:w="90" w:type="dxa"/>
              <w:start w:w="120" w:type="dxa"/>
              <w:bottom w:w="90" w:type="dxa"/>
              <w:end w:w="120" w:type="dxa"/>
            </w:tcMar>
            <w:vAlign w:val="center"/>
            <w:shd w:fill="F4F6F9"/>
          </w:tcPr>
          <w:p>
            <w:pPr>
              <w:pStyle w:val="TableText"/>
              <w:jc w:val="left"/>
            </w:pPr>
            <w:r>
              <w:rPr>
                <w:rFonts w:ascii="Calibri" w:hAnsi="Calibri" w:eastAsia="Calibri"/>
                <w:b w:val="0"/>
                <w:color w:val="1F2933"/>
                <w:sz w:val="18"/>
              </w:rPr>
              <w:t>Medium/Very High</w:t>
            </w:r>
          </w:p>
        </w:tc>
        <w:tc>
          <w:tcPr>
            <w:tcW w:type="dxa" w:w="2910"/>
            <w:tcMar>
              <w:top w:w="90" w:type="dxa"/>
              <w:start w:w="120" w:type="dxa"/>
              <w:bottom w:w="90" w:type="dxa"/>
              <w:end w:w="120" w:type="dxa"/>
            </w:tcMar>
            <w:vAlign w:val="center"/>
            <w:shd w:fill="F4F6F9"/>
          </w:tcPr>
          <w:p>
            <w:pPr>
              <w:pStyle w:val="TableText"/>
              <w:jc w:val="left"/>
            </w:pPr>
            <w:r>
              <w:rPr>
                <w:rFonts w:ascii="Calibri" w:hAnsi="Calibri" w:eastAsia="Calibri"/>
                <w:b w:val="0"/>
                <w:color w:val="1F2933"/>
                <w:sz w:val="18"/>
              </w:rPr>
              <w:t>PKI, MFA, signed updates, SOC, VAPT, DR</w:t>
            </w:r>
          </w:p>
        </w:tc>
        <w:tc>
          <w:tcPr>
            <w:tcW w:type="dxa" w:w="2900"/>
            <w:tcMar>
              <w:top w:w="90" w:type="dxa"/>
              <w:start w:w="120" w:type="dxa"/>
              <w:bottom w:w="90" w:type="dxa"/>
              <w:end w:w="120" w:type="dxa"/>
            </w:tcMar>
            <w:vAlign w:val="center"/>
            <w:shd w:fill="F4F6F9"/>
          </w:tcPr>
          <w:p>
            <w:pPr>
              <w:pStyle w:val="TableText"/>
              <w:jc w:val="left"/>
            </w:pPr>
            <w:r>
              <w:rPr>
                <w:rFonts w:ascii="Calibri" w:hAnsi="Calibri" w:eastAsia="Calibri"/>
                <w:b w:val="0"/>
                <w:color w:val="1F2933"/>
                <w:sz w:val="18"/>
              </w:rPr>
              <w:t>Outdated clients, default credentials</w:t>
            </w:r>
          </w:p>
        </w:tc>
      </w:tr>
      <w:tr>
        <w:trPr>
          <w:cantSplit w:val="true"/>
        </w:trPr>
        <w:tc>
          <w:tcPr>
            <w:tcW w:type="dxa" w:w="1850"/>
            <w:tcMar>
              <w:top w:w="90" w:type="dxa"/>
              <w:start w:w="120" w:type="dxa"/>
              <w:bottom w:w="90" w:type="dxa"/>
              <w:end w:w="120" w:type="dxa"/>
            </w:tcMar>
            <w:vAlign w:val="center"/>
          </w:tcPr>
          <w:p>
            <w:pPr>
              <w:pStyle w:val="TableText"/>
              <w:jc w:val="left"/>
            </w:pPr>
            <w:r>
              <w:rPr>
                <w:rFonts w:ascii="Calibri" w:hAnsi="Calibri" w:eastAsia="Calibri"/>
                <w:b w:val="0"/>
                <w:color w:val="1F2933"/>
                <w:sz w:val="18"/>
              </w:rPr>
              <w:t>Terminology/breakpoint drift</w:t>
            </w:r>
          </w:p>
        </w:tc>
        <w:tc>
          <w:tcPr>
            <w:tcW w:type="dxa" w:w="1700"/>
            <w:tcMar>
              <w:top w:w="90" w:type="dxa"/>
              <w:start w:w="120" w:type="dxa"/>
              <w:bottom w:w="90" w:type="dxa"/>
              <w:end w:w="120" w:type="dxa"/>
            </w:tcMar>
            <w:vAlign w:val="center"/>
          </w:tcPr>
          <w:p>
            <w:pPr>
              <w:pStyle w:val="TableText"/>
              <w:jc w:val="left"/>
            </w:pPr>
            <w:r>
              <w:rPr>
                <w:rFonts w:ascii="Calibri" w:hAnsi="Calibri" w:eastAsia="Calibri"/>
                <w:b w:val="0"/>
                <w:color w:val="1F2933"/>
                <w:sz w:val="18"/>
              </w:rPr>
              <w:t>High/High</w:t>
            </w:r>
          </w:p>
        </w:tc>
        <w:tc>
          <w:tcPr>
            <w:tcW w:type="dxa" w:w="2910"/>
            <w:tcMar>
              <w:top w:w="90" w:type="dxa"/>
              <w:start w:w="120" w:type="dxa"/>
              <w:bottom w:w="90" w:type="dxa"/>
              <w:end w:w="120" w:type="dxa"/>
            </w:tcMar>
            <w:vAlign w:val="center"/>
          </w:tcPr>
          <w:p>
            <w:pPr>
              <w:pStyle w:val="TableText"/>
              <w:jc w:val="left"/>
            </w:pPr>
            <w:r>
              <w:rPr>
                <w:rFonts w:ascii="Calibri" w:hAnsi="Calibri" w:eastAsia="Calibri"/>
                <w:b w:val="0"/>
                <w:color w:val="1F2933"/>
                <w:sz w:val="18"/>
              </w:rPr>
              <w:t>Signed versioned packages and rule lineage</w:t>
            </w:r>
          </w:p>
        </w:tc>
        <w:tc>
          <w:tcPr>
            <w:tcW w:type="dxa" w:w="2900"/>
            <w:tcMar>
              <w:top w:w="90" w:type="dxa"/>
              <w:start w:w="120" w:type="dxa"/>
              <w:bottom w:w="90" w:type="dxa"/>
              <w:end w:w="120" w:type="dxa"/>
            </w:tcMar>
            <w:vAlign w:val="center"/>
          </w:tcPr>
          <w:p>
            <w:pPr>
              <w:pStyle w:val="TableText"/>
              <w:jc w:val="left"/>
            </w:pPr>
            <w:r>
              <w:rPr>
                <w:rFonts w:ascii="Calibri" w:hAnsi="Calibri" w:eastAsia="Calibri"/>
                <w:b w:val="0"/>
                <w:color w:val="1F2933"/>
                <w:sz w:val="18"/>
              </w:rPr>
              <w:t>Same isolate classified differently</w:t>
            </w:r>
          </w:p>
        </w:tc>
      </w:tr>
      <w:tr>
        <w:trPr>
          <w:cantSplit w:val="true"/>
        </w:trPr>
        <w:tc>
          <w:tcPr>
            <w:tcW w:type="dxa" w:w="1850"/>
            <w:tcMar>
              <w:top w:w="90" w:type="dxa"/>
              <w:start w:w="120" w:type="dxa"/>
              <w:bottom w:w="90" w:type="dxa"/>
              <w:end w:w="120" w:type="dxa"/>
            </w:tcMar>
            <w:vAlign w:val="center"/>
            <w:shd w:fill="F4F6F9"/>
          </w:tcPr>
          <w:p>
            <w:pPr>
              <w:pStyle w:val="TableText"/>
              <w:jc w:val="left"/>
            </w:pPr>
            <w:r>
              <w:rPr>
                <w:rFonts w:ascii="Calibri" w:hAnsi="Calibri" w:eastAsia="Calibri"/>
                <w:b w:val="0"/>
                <w:color w:val="1F2933"/>
                <w:sz w:val="18"/>
              </w:rPr>
              <w:t>Vendor lock-in</w:t>
            </w:r>
          </w:p>
        </w:tc>
        <w:tc>
          <w:tcPr>
            <w:tcW w:type="dxa" w:w="1700"/>
            <w:tcMar>
              <w:top w:w="90" w:type="dxa"/>
              <w:start w:w="120" w:type="dxa"/>
              <w:bottom w:w="90" w:type="dxa"/>
              <w:end w:w="120" w:type="dxa"/>
            </w:tcMar>
            <w:vAlign w:val="center"/>
            <w:shd w:fill="F4F6F9"/>
          </w:tcPr>
          <w:p>
            <w:pPr>
              <w:pStyle w:val="TableText"/>
              <w:jc w:val="left"/>
            </w:pPr>
            <w:r>
              <w:rPr>
                <w:rFonts w:ascii="Calibri" w:hAnsi="Calibri" w:eastAsia="Calibri"/>
                <w:b w:val="0"/>
                <w:color w:val="1F2933"/>
                <w:sz w:val="18"/>
              </w:rPr>
              <w:t>Medium/High</w:t>
            </w:r>
          </w:p>
        </w:tc>
        <w:tc>
          <w:tcPr>
            <w:tcW w:type="dxa" w:w="2910"/>
            <w:tcMar>
              <w:top w:w="90" w:type="dxa"/>
              <w:start w:w="120" w:type="dxa"/>
              <w:bottom w:w="90" w:type="dxa"/>
              <w:end w:w="120" w:type="dxa"/>
            </w:tcMar>
            <w:vAlign w:val="center"/>
            <w:shd w:fill="F4F6F9"/>
          </w:tcPr>
          <w:p>
            <w:pPr>
              <w:pStyle w:val="TableText"/>
              <w:jc w:val="left"/>
            </w:pPr>
            <w:r>
              <w:rPr>
                <w:rFonts w:ascii="Calibri" w:hAnsi="Calibri" w:eastAsia="Calibri"/>
                <w:b w:val="0"/>
                <w:color w:val="1F2933"/>
                <w:sz w:val="18"/>
              </w:rPr>
              <w:t>Open standards/APIs, modular lots, exit clauses</w:t>
            </w:r>
          </w:p>
        </w:tc>
        <w:tc>
          <w:tcPr>
            <w:tcW w:type="dxa" w:w="2900"/>
            <w:tcMar>
              <w:top w:w="90" w:type="dxa"/>
              <w:start w:w="120" w:type="dxa"/>
              <w:bottom w:w="90" w:type="dxa"/>
              <w:end w:w="120" w:type="dxa"/>
            </w:tcMar>
            <w:vAlign w:val="center"/>
            <w:shd w:fill="F4F6F9"/>
          </w:tcPr>
          <w:p>
            <w:pPr>
              <w:pStyle w:val="TableText"/>
              <w:jc w:val="left"/>
            </w:pPr>
            <w:r>
              <w:rPr>
                <w:rFonts w:ascii="Calibri" w:hAnsi="Calibri" w:eastAsia="Calibri"/>
                <w:b w:val="0"/>
                <w:color w:val="1F2933"/>
                <w:sz w:val="18"/>
              </w:rPr>
              <w:t>Undocumented proprietary formats</w:t>
            </w:r>
          </w:p>
        </w:tc>
      </w:tr>
      <w:tr>
        <w:trPr>
          <w:cantSplit w:val="true"/>
        </w:trPr>
        <w:tc>
          <w:tcPr>
            <w:tcW w:type="dxa" w:w="1850"/>
            <w:tcMar>
              <w:top w:w="90" w:type="dxa"/>
              <w:start w:w="120" w:type="dxa"/>
              <w:bottom w:w="90" w:type="dxa"/>
              <w:end w:w="120" w:type="dxa"/>
            </w:tcMar>
            <w:vAlign w:val="center"/>
          </w:tcPr>
          <w:p>
            <w:pPr>
              <w:pStyle w:val="TableText"/>
              <w:jc w:val="left"/>
            </w:pPr>
            <w:r>
              <w:rPr>
                <w:rFonts w:ascii="Calibri" w:hAnsi="Calibri" w:eastAsia="Calibri"/>
                <w:b w:val="0"/>
                <w:color w:val="1F2933"/>
                <w:sz w:val="18"/>
              </w:rPr>
              <w:t>Alert fatigue</w:t>
            </w:r>
          </w:p>
        </w:tc>
        <w:tc>
          <w:tcPr>
            <w:tcW w:type="dxa" w:w="1700"/>
            <w:tcMar>
              <w:top w:w="90" w:type="dxa"/>
              <w:start w:w="120" w:type="dxa"/>
              <w:bottom w:w="90" w:type="dxa"/>
              <w:end w:w="120" w:type="dxa"/>
            </w:tcMar>
            <w:vAlign w:val="center"/>
          </w:tcPr>
          <w:p>
            <w:pPr>
              <w:pStyle w:val="TableText"/>
              <w:jc w:val="left"/>
            </w:pPr>
            <w:r>
              <w:rPr>
                <w:rFonts w:ascii="Calibri" w:hAnsi="Calibri" w:eastAsia="Calibri"/>
                <w:b w:val="0"/>
                <w:color w:val="1F2933"/>
                <w:sz w:val="18"/>
              </w:rPr>
              <w:t>High/Medium</w:t>
            </w:r>
          </w:p>
        </w:tc>
        <w:tc>
          <w:tcPr>
            <w:tcW w:type="dxa" w:w="2910"/>
            <w:tcMar>
              <w:top w:w="90" w:type="dxa"/>
              <w:start w:w="120" w:type="dxa"/>
              <w:bottom w:w="90" w:type="dxa"/>
              <w:end w:w="120" w:type="dxa"/>
            </w:tcMar>
            <w:vAlign w:val="center"/>
          </w:tcPr>
          <w:p>
            <w:pPr>
              <w:pStyle w:val="TableText"/>
              <w:jc w:val="left"/>
            </w:pPr>
            <w:r>
              <w:rPr>
                <w:rFonts w:ascii="Calibri" w:hAnsi="Calibri" w:eastAsia="Calibri"/>
                <w:b w:val="0"/>
                <w:color w:val="1F2933"/>
                <w:sz w:val="18"/>
              </w:rPr>
              <w:t>Tiered rules, verification, performance review</w:t>
            </w:r>
          </w:p>
        </w:tc>
        <w:tc>
          <w:tcPr>
            <w:tcW w:type="dxa" w:w="2900"/>
            <w:tcMar>
              <w:top w:w="90" w:type="dxa"/>
              <w:start w:w="120" w:type="dxa"/>
              <w:bottom w:w="90" w:type="dxa"/>
              <w:end w:w="120" w:type="dxa"/>
            </w:tcMar>
            <w:vAlign w:val="center"/>
          </w:tcPr>
          <w:p>
            <w:pPr>
              <w:pStyle w:val="TableText"/>
              <w:jc w:val="left"/>
            </w:pPr>
            <w:r>
              <w:rPr>
                <w:rFonts w:ascii="Calibri" w:hAnsi="Calibri" w:eastAsia="Calibri"/>
                <w:b w:val="0"/>
                <w:color w:val="1F2933"/>
                <w:sz w:val="18"/>
              </w:rPr>
              <w:t>Low acknowledgement/positive predictive value</w:t>
            </w:r>
          </w:p>
        </w:tc>
      </w:tr>
      <w:tr>
        <w:trPr>
          <w:cantSplit w:val="true"/>
        </w:trPr>
        <w:tc>
          <w:tcPr>
            <w:tcW w:type="dxa" w:w="1850"/>
            <w:tcMar>
              <w:top w:w="90" w:type="dxa"/>
              <w:start w:w="120" w:type="dxa"/>
              <w:bottom w:w="90" w:type="dxa"/>
              <w:end w:w="120" w:type="dxa"/>
            </w:tcMar>
            <w:vAlign w:val="center"/>
            <w:shd w:fill="F4F6F9"/>
          </w:tcPr>
          <w:p>
            <w:pPr>
              <w:pStyle w:val="TableText"/>
              <w:jc w:val="left"/>
            </w:pPr>
            <w:r>
              <w:rPr>
                <w:rFonts w:ascii="Calibri" w:hAnsi="Calibri" w:eastAsia="Calibri"/>
                <w:b w:val="0"/>
                <w:color w:val="1F2933"/>
                <w:sz w:val="18"/>
              </w:rPr>
              <w:t>Algorithm overreach</w:t>
            </w:r>
          </w:p>
        </w:tc>
        <w:tc>
          <w:tcPr>
            <w:tcW w:type="dxa" w:w="1700"/>
            <w:tcMar>
              <w:top w:w="90" w:type="dxa"/>
              <w:start w:w="120" w:type="dxa"/>
              <w:bottom w:w="90" w:type="dxa"/>
              <w:end w:w="120" w:type="dxa"/>
            </w:tcMar>
            <w:vAlign w:val="center"/>
            <w:shd w:fill="F4F6F9"/>
          </w:tcPr>
          <w:p>
            <w:pPr>
              <w:pStyle w:val="TableText"/>
              <w:jc w:val="left"/>
            </w:pPr>
            <w:r>
              <w:rPr>
                <w:rFonts w:ascii="Calibri" w:hAnsi="Calibri" w:eastAsia="Calibri"/>
                <w:b w:val="0"/>
                <w:color w:val="1F2933"/>
                <w:sz w:val="18"/>
              </w:rPr>
              <w:t>Medium/High</w:t>
            </w:r>
          </w:p>
        </w:tc>
        <w:tc>
          <w:tcPr>
            <w:tcW w:type="dxa" w:w="2910"/>
            <w:tcMar>
              <w:top w:w="90" w:type="dxa"/>
              <w:start w:w="120" w:type="dxa"/>
              <w:bottom w:w="90" w:type="dxa"/>
              <w:end w:w="120" w:type="dxa"/>
            </w:tcMar>
            <w:vAlign w:val="center"/>
            <w:shd w:fill="F4F6F9"/>
          </w:tcPr>
          <w:p>
            <w:pPr>
              <w:pStyle w:val="TableText"/>
              <w:jc w:val="left"/>
            </w:pPr>
            <w:r>
              <w:rPr>
                <w:rFonts w:ascii="Calibri" w:hAnsi="Calibri" w:eastAsia="Calibri"/>
                <w:b w:val="0"/>
                <w:color w:val="1F2933"/>
                <w:sz w:val="18"/>
              </w:rPr>
              <w:t>Model governance and human decision ownership</w:t>
            </w:r>
          </w:p>
        </w:tc>
        <w:tc>
          <w:tcPr>
            <w:tcW w:type="dxa" w:w="2900"/>
            <w:tcMar>
              <w:top w:w="90" w:type="dxa"/>
              <w:start w:w="120" w:type="dxa"/>
              <w:bottom w:w="90" w:type="dxa"/>
              <w:end w:w="120" w:type="dxa"/>
            </w:tcMar>
            <w:vAlign w:val="center"/>
            <w:shd w:fill="F4F6F9"/>
          </w:tcPr>
          <w:p>
            <w:pPr>
              <w:pStyle w:val="TableText"/>
              <w:jc w:val="left"/>
            </w:pPr>
            <w:r>
              <w:rPr>
                <w:rFonts w:ascii="Calibri" w:hAnsi="Calibri" w:eastAsia="Calibri"/>
                <w:b w:val="0"/>
                <w:color w:val="1F2933"/>
                <w:sz w:val="18"/>
              </w:rPr>
              <w:t>Recommendations without uncertainty</w:t>
            </w:r>
          </w:p>
        </w:tc>
      </w:tr>
      <w:tr>
        <w:trPr>
          <w:cantSplit w:val="true"/>
        </w:trPr>
        <w:tc>
          <w:tcPr>
            <w:tcW w:type="dxa" w:w="1850"/>
            <w:tcMar>
              <w:top w:w="90" w:type="dxa"/>
              <w:start w:w="120" w:type="dxa"/>
              <w:bottom w:w="90" w:type="dxa"/>
              <w:end w:w="120" w:type="dxa"/>
            </w:tcMar>
            <w:vAlign w:val="center"/>
          </w:tcPr>
          <w:p>
            <w:pPr>
              <w:pStyle w:val="TableText"/>
              <w:jc w:val="left"/>
            </w:pPr>
            <w:r>
              <w:rPr>
                <w:rFonts w:ascii="Calibri" w:hAnsi="Calibri" w:eastAsia="Calibri"/>
                <w:b w:val="0"/>
                <w:color w:val="1F2933"/>
                <w:sz w:val="18"/>
              </w:rPr>
              <w:t>Insufficient recurring budget/staff</w:t>
            </w:r>
          </w:p>
        </w:tc>
        <w:tc>
          <w:tcPr>
            <w:tcW w:type="dxa" w:w="1700"/>
            <w:tcMar>
              <w:top w:w="90" w:type="dxa"/>
              <w:start w:w="120" w:type="dxa"/>
              <w:bottom w:w="90" w:type="dxa"/>
              <w:end w:w="120" w:type="dxa"/>
            </w:tcMar>
            <w:vAlign w:val="center"/>
          </w:tcPr>
          <w:p>
            <w:pPr>
              <w:pStyle w:val="TableText"/>
              <w:jc w:val="left"/>
            </w:pPr>
            <w:r>
              <w:rPr>
                <w:rFonts w:ascii="Calibri" w:hAnsi="Calibri" w:eastAsia="Calibri"/>
                <w:b w:val="0"/>
                <w:color w:val="1F2933"/>
                <w:sz w:val="18"/>
              </w:rPr>
              <w:t>High/High</w:t>
            </w:r>
          </w:p>
        </w:tc>
        <w:tc>
          <w:tcPr>
            <w:tcW w:type="dxa" w:w="2910"/>
            <w:tcMar>
              <w:top w:w="90" w:type="dxa"/>
              <w:start w:w="120" w:type="dxa"/>
              <w:bottom w:w="90" w:type="dxa"/>
              <w:end w:w="120" w:type="dxa"/>
            </w:tcMar>
            <w:vAlign w:val="center"/>
          </w:tcPr>
          <w:p>
            <w:pPr>
              <w:pStyle w:val="TableText"/>
              <w:jc w:val="left"/>
            </w:pPr>
            <w:r>
              <w:rPr>
                <w:rFonts w:ascii="Calibri" w:hAnsi="Calibri" w:eastAsia="Calibri"/>
                <w:b w:val="0"/>
                <w:color w:val="1F2933"/>
                <w:sz w:val="18"/>
              </w:rPr>
              <w:t>TCO, recurrent funding, staged scale</w:t>
            </w:r>
          </w:p>
        </w:tc>
        <w:tc>
          <w:tcPr>
            <w:tcW w:type="dxa" w:w="2900"/>
            <w:tcMar>
              <w:top w:w="90" w:type="dxa"/>
              <w:start w:w="120" w:type="dxa"/>
              <w:bottom w:w="90" w:type="dxa"/>
              <w:end w:w="120" w:type="dxa"/>
            </w:tcMar>
            <w:vAlign w:val="center"/>
          </w:tcPr>
          <w:p>
            <w:pPr>
              <w:pStyle w:val="TableText"/>
              <w:jc w:val="left"/>
            </w:pPr>
            <w:r>
              <w:rPr>
                <w:rFonts w:ascii="Calibri" w:hAnsi="Calibri" w:eastAsia="Calibri"/>
                <w:b w:val="0"/>
                <w:color w:val="1F2933"/>
                <w:sz w:val="18"/>
              </w:rPr>
              <w:t>Vacant roles, delayed patching/support</w:t>
            </w:r>
          </w:p>
        </w:tc>
      </w:tr>
      <w:tr>
        <w:trPr>
          <w:cantSplit w:val="true"/>
        </w:trPr>
        <w:tc>
          <w:tcPr>
            <w:tcW w:type="dxa" w:w="1850"/>
            <w:tcMar>
              <w:top w:w="90" w:type="dxa"/>
              <w:start w:w="120" w:type="dxa"/>
              <w:bottom w:w="90" w:type="dxa"/>
              <w:end w:w="120" w:type="dxa"/>
            </w:tcMar>
            <w:vAlign w:val="center"/>
            <w:shd w:fill="F4F6F9"/>
          </w:tcPr>
          <w:p>
            <w:pPr>
              <w:pStyle w:val="TableText"/>
              <w:jc w:val="left"/>
            </w:pPr>
            <w:r>
              <w:rPr>
                <w:rFonts w:ascii="Calibri" w:hAnsi="Calibri" w:eastAsia="Calibri"/>
                <w:b w:val="0"/>
                <w:color w:val="1F2933"/>
                <w:sz w:val="18"/>
              </w:rPr>
              <w:t>Sector data cannot be legally shared as designed</w:t>
            </w:r>
          </w:p>
        </w:tc>
        <w:tc>
          <w:tcPr>
            <w:tcW w:type="dxa" w:w="1700"/>
            <w:tcMar>
              <w:top w:w="90" w:type="dxa"/>
              <w:start w:w="120" w:type="dxa"/>
              <w:bottom w:w="90" w:type="dxa"/>
              <w:end w:w="120" w:type="dxa"/>
            </w:tcMar>
            <w:vAlign w:val="center"/>
            <w:shd w:fill="F4F6F9"/>
          </w:tcPr>
          <w:p>
            <w:pPr>
              <w:pStyle w:val="TableText"/>
              <w:jc w:val="left"/>
            </w:pPr>
            <w:r>
              <w:rPr>
                <w:rFonts w:ascii="Calibri" w:hAnsi="Calibri" w:eastAsia="Calibri"/>
                <w:b w:val="0"/>
                <w:color w:val="1F2933"/>
                <w:sz w:val="18"/>
              </w:rPr>
              <w:t>Medium/High</w:t>
            </w:r>
          </w:p>
        </w:tc>
        <w:tc>
          <w:tcPr>
            <w:tcW w:type="dxa" w:w="2910"/>
            <w:tcMar>
              <w:top w:w="90" w:type="dxa"/>
              <w:start w:w="120" w:type="dxa"/>
              <w:bottom w:w="90" w:type="dxa"/>
              <w:end w:w="120" w:type="dxa"/>
            </w:tcMar>
            <w:vAlign w:val="center"/>
            <w:shd w:fill="F4F6F9"/>
          </w:tcPr>
          <w:p>
            <w:pPr>
              <w:pStyle w:val="TableText"/>
              <w:jc w:val="left"/>
            </w:pPr>
            <w:r>
              <w:rPr>
                <w:rFonts w:ascii="Calibri" w:hAnsi="Calibri" w:eastAsia="Calibri"/>
                <w:b w:val="0"/>
                <w:color w:val="1F2933"/>
                <w:sz w:val="18"/>
              </w:rPr>
              <w:t>DPIA/DSA before build, minimum necessary data</w:t>
            </w:r>
          </w:p>
        </w:tc>
        <w:tc>
          <w:tcPr>
            <w:tcW w:type="dxa" w:w="2900"/>
            <w:tcMar>
              <w:top w:w="90" w:type="dxa"/>
              <w:start w:w="120" w:type="dxa"/>
              <w:bottom w:w="90" w:type="dxa"/>
              <w:end w:w="120" w:type="dxa"/>
            </w:tcMar>
            <w:vAlign w:val="center"/>
            <w:shd w:fill="F4F6F9"/>
          </w:tcPr>
          <w:p>
            <w:pPr>
              <w:pStyle w:val="TableText"/>
              <w:jc w:val="left"/>
            </w:pPr>
            <w:r>
              <w:rPr>
                <w:rFonts w:ascii="Calibri" w:hAnsi="Calibri" w:eastAsia="Calibri"/>
                <w:b w:val="0"/>
                <w:color w:val="1F2933"/>
                <w:sz w:val="18"/>
              </w:rPr>
              <w:t>Unresolved authority or purpose</w:t>
            </w:r>
          </w:p>
        </w:tc>
      </w:tr>
      <w:tr>
        <w:trPr>
          <w:cantSplit w:val="true"/>
        </w:trPr>
        <w:tc>
          <w:tcPr>
            <w:tcW w:type="dxa" w:w="1850"/>
            <w:tcMar>
              <w:top w:w="90" w:type="dxa"/>
              <w:start w:w="120" w:type="dxa"/>
              <w:bottom w:w="90" w:type="dxa"/>
              <w:end w:w="120" w:type="dxa"/>
            </w:tcMar>
            <w:vAlign w:val="center"/>
          </w:tcPr>
          <w:p>
            <w:pPr>
              <w:pStyle w:val="TableText"/>
              <w:jc w:val="left"/>
            </w:pPr>
            <w:r>
              <w:rPr>
                <w:rFonts w:ascii="Calibri" w:hAnsi="Calibri" w:eastAsia="Calibri"/>
                <w:b w:val="0"/>
                <w:color w:val="1F2933"/>
                <w:sz w:val="18"/>
              </w:rPr>
              <w:t>Connectivity/hardware inequity</w:t>
            </w:r>
          </w:p>
        </w:tc>
        <w:tc>
          <w:tcPr>
            <w:tcW w:type="dxa" w:w="1700"/>
            <w:tcMar>
              <w:top w:w="90" w:type="dxa"/>
              <w:start w:w="120" w:type="dxa"/>
              <w:bottom w:w="90" w:type="dxa"/>
              <w:end w:w="120" w:type="dxa"/>
            </w:tcMar>
            <w:vAlign w:val="center"/>
          </w:tcPr>
          <w:p>
            <w:pPr>
              <w:pStyle w:val="TableText"/>
              <w:jc w:val="left"/>
            </w:pPr>
            <w:r>
              <w:rPr>
                <w:rFonts w:ascii="Calibri" w:hAnsi="Calibri" w:eastAsia="Calibri"/>
                <w:b w:val="0"/>
                <w:color w:val="1F2933"/>
                <w:sz w:val="18"/>
              </w:rPr>
              <w:t>High/Medium</w:t>
            </w:r>
          </w:p>
        </w:tc>
        <w:tc>
          <w:tcPr>
            <w:tcW w:type="dxa" w:w="2910"/>
            <w:tcMar>
              <w:top w:w="90" w:type="dxa"/>
              <w:start w:w="120" w:type="dxa"/>
              <w:bottom w:w="90" w:type="dxa"/>
              <w:end w:w="120" w:type="dxa"/>
            </w:tcMar>
            <w:vAlign w:val="center"/>
          </w:tcPr>
          <w:p>
            <w:pPr>
              <w:pStyle w:val="TableText"/>
              <w:jc w:val="left"/>
            </w:pPr>
            <w:r>
              <w:rPr>
                <w:rFonts w:ascii="Calibri" w:hAnsi="Calibri" w:eastAsia="Calibri"/>
                <w:b w:val="0"/>
                <w:color w:val="1F2933"/>
                <w:sz w:val="18"/>
              </w:rPr>
              <w:t>Offline-first, store-and-forward, support/hardware package</w:t>
            </w:r>
          </w:p>
        </w:tc>
        <w:tc>
          <w:tcPr>
            <w:tcW w:type="dxa" w:w="2900"/>
            <w:tcMar>
              <w:top w:w="90" w:type="dxa"/>
              <w:start w:w="120" w:type="dxa"/>
              <w:bottom w:w="90" w:type="dxa"/>
              <w:end w:w="120" w:type="dxa"/>
            </w:tcMar>
            <w:vAlign w:val="center"/>
          </w:tcPr>
          <w:p>
            <w:pPr>
              <w:pStyle w:val="TableText"/>
              <w:jc w:val="left"/>
            </w:pPr>
            <w:r>
              <w:rPr>
                <w:rFonts w:ascii="Calibri" w:hAnsi="Calibri" w:eastAsia="Calibri"/>
                <w:b w:val="0"/>
                <w:color w:val="1F2933"/>
                <w:sz w:val="18"/>
              </w:rPr>
              <w:t>Persistent sync backlog in remote sites</w:t>
            </w:r>
          </w:p>
        </w:tc>
      </w:tr>
      <w:tr>
        <w:trPr>
          <w:cantSplit w:val="true"/>
        </w:trPr>
        <w:tc>
          <w:tcPr>
            <w:tcW w:type="dxa" w:w="1850"/>
            <w:tcMar>
              <w:top w:w="90" w:type="dxa"/>
              <w:start w:w="120" w:type="dxa"/>
              <w:bottom w:w="90" w:type="dxa"/>
              <w:end w:w="120" w:type="dxa"/>
            </w:tcMar>
            <w:vAlign w:val="center"/>
            <w:shd w:fill="F4F6F9"/>
          </w:tcPr>
          <w:p>
            <w:pPr>
              <w:pStyle w:val="TableText"/>
              <w:jc w:val="left"/>
            </w:pPr>
            <w:r>
              <w:rPr>
                <w:rFonts w:ascii="Calibri" w:hAnsi="Calibri" w:eastAsia="Calibri"/>
                <w:b w:val="0"/>
                <w:color w:val="1F2933"/>
                <w:sz w:val="18"/>
              </w:rPr>
              <w:t>Poor laboratory quality undermines analytics</w:t>
            </w:r>
          </w:p>
        </w:tc>
        <w:tc>
          <w:tcPr>
            <w:tcW w:type="dxa" w:w="1700"/>
            <w:tcMar>
              <w:top w:w="90" w:type="dxa"/>
              <w:start w:w="120" w:type="dxa"/>
              <w:bottom w:w="90" w:type="dxa"/>
              <w:end w:w="120" w:type="dxa"/>
            </w:tcMar>
            <w:vAlign w:val="center"/>
            <w:shd w:fill="F4F6F9"/>
          </w:tcPr>
          <w:p>
            <w:pPr>
              <w:pStyle w:val="TableText"/>
              <w:jc w:val="left"/>
            </w:pPr>
            <w:r>
              <w:rPr>
                <w:rFonts w:ascii="Calibri" w:hAnsi="Calibri" w:eastAsia="Calibri"/>
                <w:b w:val="0"/>
                <w:color w:val="1F2933"/>
                <w:sz w:val="18"/>
              </w:rPr>
              <w:t>High/High</w:t>
            </w:r>
          </w:p>
        </w:tc>
        <w:tc>
          <w:tcPr>
            <w:tcW w:type="dxa" w:w="2910"/>
            <w:tcMar>
              <w:top w:w="90" w:type="dxa"/>
              <w:start w:w="120" w:type="dxa"/>
              <w:bottom w:w="90" w:type="dxa"/>
              <w:end w:w="120" w:type="dxa"/>
            </w:tcMar>
            <w:vAlign w:val="center"/>
            <w:shd w:fill="F4F6F9"/>
          </w:tcPr>
          <w:p>
            <w:pPr>
              <w:pStyle w:val="TableText"/>
              <w:jc w:val="left"/>
            </w:pPr>
            <w:r>
              <w:rPr>
                <w:rFonts w:ascii="Calibri" w:hAnsi="Calibri" w:eastAsia="Calibri"/>
                <w:b w:val="0"/>
                <w:color w:val="1F2933"/>
                <w:sz w:val="18"/>
              </w:rPr>
              <w:t>EQA/QMS linked to data products</w:t>
            </w:r>
          </w:p>
        </w:tc>
        <w:tc>
          <w:tcPr>
            <w:tcW w:type="dxa" w:w="2900"/>
            <w:tcMar>
              <w:top w:w="90" w:type="dxa"/>
              <w:start w:w="120" w:type="dxa"/>
              <w:bottom w:w="90" w:type="dxa"/>
              <w:end w:w="120" w:type="dxa"/>
            </w:tcMar>
            <w:vAlign w:val="center"/>
            <w:shd w:fill="F4F6F9"/>
          </w:tcPr>
          <w:p>
            <w:pPr>
              <w:pStyle w:val="TableText"/>
              <w:jc w:val="left"/>
            </w:pPr>
            <w:r>
              <w:rPr>
                <w:rFonts w:ascii="Calibri" w:hAnsi="Calibri" w:eastAsia="Calibri"/>
                <w:b w:val="0"/>
                <w:color w:val="1F2933"/>
                <w:sz w:val="18"/>
              </w:rPr>
              <w:t>QC failures, inconsistent methods</w:t>
            </w:r>
          </w:p>
        </w:tc>
      </w:tr>
    </w:tbl>
    <w:p>
      <w:pPr>
        <w:spacing w:after="40"/>
      </w:pPr>
    </w:p>
    <w:p>
      <w:pPr>
        <w:pStyle w:val="Heading1"/>
      </w:pPr>
      <w:r>
        <w:rPr>
          <w:rFonts w:ascii="Calibri" w:hAnsi="Calibri" w:eastAsia="Calibri"/>
          <w:b/>
          <w:color w:val="2E74B5"/>
          <w:sz w:val="32"/>
        </w:rPr>
        <w:t>16. First 100 days</w:t>
      </w:r>
    </w:p>
    <w:p>
      <w:pPr>
        <w:pStyle w:val="Heading2"/>
      </w:pPr>
      <w:r>
        <w:rPr>
          <w:rFonts w:ascii="Calibri" w:hAnsi="Calibri" w:eastAsia="Calibri"/>
          <w:b/>
          <w:color w:val="2E74B5"/>
          <w:sz w:val="26"/>
        </w:rPr>
        <w:t>Days 0–30: authorise and focus</w:t>
      </w:r>
    </w:p>
    <w:p>
      <w:pPr>
        <w:jc w:val="left"/>
        <w:numPr>
          <w:ilvl w:val="0"/>
          <w:numId w:val="13"/>
        </w:numPr>
      </w:pPr>
      <w:r>
        <w:rPr>
          <w:rFonts w:ascii="Calibri" w:hAnsi="Calibri" w:eastAsia="Calibri"/>
          <w:b w:val="0"/>
          <w:color w:val="1F2933"/>
        </w:rPr>
        <w:t>Issue programme order and appoint executive sponsor, mission director and sector leads.</w:t>
      </w:r>
    </w:p>
    <w:p>
      <w:pPr>
        <w:jc w:val="left"/>
        <w:numPr>
          <w:ilvl w:val="0"/>
          <w:numId w:val="13"/>
        </w:numPr>
      </w:pPr>
      <w:r>
        <w:rPr>
          <w:rFonts w:ascii="Calibri" w:hAnsi="Calibri" w:eastAsia="Calibri"/>
          <w:b w:val="0"/>
          <w:color w:val="1F2933"/>
        </w:rPr>
        <w:t>Establish the Digital Mission Unit, methods board, architecture/standards TWG, data governance board and security authority.</w:t>
      </w:r>
    </w:p>
    <w:p>
      <w:pPr>
        <w:jc w:val="left"/>
        <w:numPr>
          <w:ilvl w:val="0"/>
          <w:numId w:val="13"/>
        </w:numPr>
      </w:pPr>
      <w:r>
        <w:rPr>
          <w:rFonts w:ascii="Calibri" w:hAnsi="Calibri" w:eastAsia="Calibri"/>
          <w:b w:val="0"/>
          <w:color w:val="1F2933"/>
        </w:rPr>
        <w:t>Freeze ungoverned feature expansion in the current prototype; create a controlled code/release repository and defect backlog.</w:t>
      </w:r>
    </w:p>
    <w:p>
      <w:pPr>
        <w:jc w:val="left"/>
        <w:numPr>
          <w:ilvl w:val="0"/>
          <w:numId w:val="13"/>
        </w:numPr>
      </w:pPr>
      <w:r>
        <w:rPr>
          <w:rFonts w:ascii="Calibri" w:hAnsi="Calibri" w:eastAsia="Calibri"/>
          <w:b w:val="0"/>
          <w:color w:val="1F2933"/>
        </w:rPr>
        <w:t>Select 3–6 pilot States/UTs using readiness, ecological/sector diversity, laboratory mix and leadership criteria.</w:t>
      </w:r>
    </w:p>
    <w:p>
      <w:pPr>
        <w:jc w:val="left"/>
        <w:numPr>
          <w:ilvl w:val="0"/>
          <w:numId w:val="13"/>
        </w:numPr>
      </w:pPr>
      <w:r>
        <w:rPr>
          <w:rFonts w:ascii="Calibri" w:hAnsi="Calibri" w:eastAsia="Calibri"/>
          <w:b w:val="0"/>
          <w:color w:val="1F2933"/>
        </w:rPr>
        <w:t>Start system/data/network inventory and map the current reporting burden.</w:t>
      </w:r>
    </w:p>
    <w:p>
      <w:pPr>
        <w:jc w:val="left"/>
        <w:numPr>
          <w:ilvl w:val="0"/>
          <w:numId w:val="13"/>
        </w:numPr>
      </w:pPr>
      <w:r>
        <w:rPr>
          <w:rFonts w:ascii="Calibri" w:hAnsi="Calibri" w:eastAsia="Calibri"/>
          <w:b w:val="0"/>
          <w:color w:val="1F2933"/>
        </w:rPr>
        <w:t>Approve the first three outcome-oriented use cases: human AMR surveillance, facility stewardship/AMC and one multi-sector sentinel pathway.</w:t>
      </w:r>
    </w:p>
    <w:p>
      <w:pPr>
        <w:pStyle w:val="Heading2"/>
      </w:pPr>
      <w:r>
        <w:rPr>
          <w:rFonts w:ascii="Calibri" w:hAnsi="Calibri" w:eastAsia="Calibri"/>
          <w:b/>
          <w:color w:val="2E74B5"/>
          <w:sz w:val="26"/>
        </w:rPr>
        <w:t>Days 31–60: specify and baseline</w:t>
      </w:r>
    </w:p>
    <w:p>
      <w:pPr>
        <w:jc w:val="left"/>
        <w:numPr>
          <w:ilvl w:val="0"/>
          <w:numId w:val="14"/>
        </w:numPr>
      </w:pPr>
      <w:r>
        <w:rPr>
          <w:rFonts w:ascii="Calibri" w:hAnsi="Calibri" w:eastAsia="Calibri"/>
          <w:b w:val="0"/>
          <w:color w:val="1F2933"/>
        </w:rPr>
        <w:t>Publish minimum datasets, indicator definitions and data-classification matrix v0.1.</w:t>
      </w:r>
    </w:p>
    <w:p>
      <w:pPr>
        <w:jc w:val="left"/>
        <w:numPr>
          <w:ilvl w:val="0"/>
          <w:numId w:val="14"/>
        </w:numPr>
      </w:pPr>
      <w:r>
        <w:rPr>
          <w:rFonts w:ascii="Calibri" w:hAnsi="Calibri" w:eastAsia="Calibri"/>
          <w:b w:val="0"/>
          <w:color w:val="1F2933"/>
        </w:rPr>
        <w:t>Complete threat model, privacy assessment, data-sharing schedules and pilot security plan.</w:t>
      </w:r>
    </w:p>
    <w:p>
      <w:pPr>
        <w:jc w:val="left"/>
        <w:numPr>
          <w:ilvl w:val="0"/>
          <w:numId w:val="14"/>
        </w:numPr>
      </w:pPr>
      <w:r>
        <w:rPr>
          <w:rFonts w:ascii="Calibri" w:hAnsi="Calibri" w:eastAsia="Calibri"/>
          <w:b w:val="0"/>
          <w:color w:val="1F2933"/>
        </w:rPr>
        <w:t>Build golden datasets and calculation/conformance tests before major refactoring.</w:t>
      </w:r>
    </w:p>
    <w:p>
      <w:pPr>
        <w:jc w:val="left"/>
        <w:numPr>
          <w:ilvl w:val="0"/>
          <w:numId w:val="14"/>
        </w:numPr>
      </w:pPr>
      <w:r>
        <w:rPr>
          <w:rFonts w:ascii="Calibri" w:hAnsi="Calibri" w:eastAsia="Calibri"/>
          <w:b w:val="0"/>
          <w:color w:val="1F2933"/>
        </w:rPr>
        <w:t>Assess the current desktop/server against production controls; prioritise critical remediation.</w:t>
      </w:r>
    </w:p>
    <w:p>
      <w:pPr>
        <w:jc w:val="left"/>
        <w:numPr>
          <w:ilvl w:val="0"/>
          <w:numId w:val="14"/>
        </w:numPr>
      </w:pPr>
      <w:r>
        <w:rPr>
          <w:rFonts w:ascii="Calibri" w:hAnsi="Calibri" w:eastAsia="Calibri"/>
          <w:b w:val="0"/>
          <w:color w:val="1F2933"/>
        </w:rPr>
        <w:t>Establish baseline laboratory, data-quality, AMC/AMU, IPC and programme indicators.</w:t>
      </w:r>
    </w:p>
    <w:p>
      <w:pPr>
        <w:jc w:val="left"/>
        <w:numPr>
          <w:ilvl w:val="0"/>
          <w:numId w:val="14"/>
        </w:numPr>
      </w:pPr>
      <w:r>
        <w:rPr>
          <w:rFonts w:ascii="Calibri" w:hAnsi="Calibri" w:eastAsia="Calibri"/>
          <w:b w:val="0"/>
          <w:color w:val="1F2933"/>
        </w:rPr>
        <w:t>Confirm pilot sites, local teams, infrastructure and training calendar.</w:t>
      </w:r>
    </w:p>
    <w:p>
      <w:pPr>
        <w:pStyle w:val="Heading2"/>
      </w:pPr>
      <w:r>
        <w:rPr>
          <w:rFonts w:ascii="Calibri" w:hAnsi="Calibri" w:eastAsia="Calibri"/>
          <w:b/>
          <w:color w:val="2E74B5"/>
          <w:sz w:val="26"/>
        </w:rPr>
        <w:t>Days 61–100: build the reference implementation</w:t>
      </w:r>
    </w:p>
    <w:p>
      <w:pPr>
        <w:jc w:val="left"/>
        <w:numPr>
          <w:ilvl w:val="0"/>
          <w:numId w:val="15"/>
        </w:numPr>
      </w:pPr>
      <w:r>
        <w:rPr>
          <w:rFonts w:ascii="Calibri" w:hAnsi="Calibri" w:eastAsia="Calibri"/>
          <w:b w:val="0"/>
          <w:color w:val="1F2933"/>
        </w:rPr>
        <w:t>Implement secure provisioning, durable sync, API versioning, data-quality feedback and denominator-aware dashboards.</w:t>
      </w:r>
    </w:p>
    <w:p>
      <w:pPr>
        <w:jc w:val="left"/>
        <w:numPr>
          <w:ilvl w:val="0"/>
          <w:numId w:val="15"/>
        </w:numPr>
      </w:pPr>
      <w:r>
        <w:rPr>
          <w:rFonts w:ascii="Calibri" w:hAnsi="Calibri" w:eastAsia="Calibri"/>
          <w:b w:val="0"/>
          <w:color w:val="1F2933"/>
        </w:rPr>
        <w:t>Demonstrate a reference LIS/WHONET import-to-national-aggregate round trip.</w:t>
      </w:r>
    </w:p>
    <w:p>
      <w:pPr>
        <w:jc w:val="left"/>
        <w:numPr>
          <w:ilvl w:val="0"/>
          <w:numId w:val="15"/>
        </w:numPr>
      </w:pPr>
      <w:r>
        <w:rPr>
          <w:rFonts w:ascii="Calibri" w:hAnsi="Calibri" w:eastAsia="Calibri"/>
          <w:b w:val="0"/>
          <w:color w:val="1F2933"/>
        </w:rPr>
        <w:t>Demonstrate a verified alert-to-action-to-closure workflow.</w:t>
      </w:r>
    </w:p>
    <w:p>
      <w:pPr>
        <w:jc w:val="left"/>
        <w:numPr>
          <w:ilvl w:val="0"/>
          <w:numId w:val="15"/>
        </w:numPr>
      </w:pPr>
      <w:r>
        <w:rPr>
          <w:rFonts w:ascii="Calibri" w:hAnsi="Calibri" w:eastAsia="Calibri"/>
          <w:b w:val="0"/>
          <w:color w:val="1F2933"/>
        </w:rPr>
        <w:t>Run offline replay, backup/restore, security and metric-concordance tests.</w:t>
      </w:r>
    </w:p>
    <w:p>
      <w:pPr>
        <w:jc w:val="left"/>
        <w:numPr>
          <w:ilvl w:val="0"/>
          <w:numId w:val="15"/>
        </w:numPr>
      </w:pPr>
      <w:r>
        <w:rPr>
          <w:rFonts w:ascii="Calibri" w:hAnsi="Calibri" w:eastAsia="Calibri"/>
          <w:b w:val="0"/>
          <w:color w:val="1F2933"/>
        </w:rPr>
        <w:t>Finalise the 9-month pilot backlog, budget and procurement packages.</w:t>
      </w:r>
    </w:p>
    <w:p>
      <w:pPr>
        <w:jc w:val="left"/>
        <w:numPr>
          <w:ilvl w:val="0"/>
          <w:numId w:val="15"/>
        </w:numPr>
      </w:pPr>
      <w:r>
        <w:rPr>
          <w:rFonts w:ascii="Calibri" w:hAnsi="Calibri" w:eastAsia="Calibri"/>
          <w:b w:val="0"/>
          <w:color w:val="1F2933"/>
        </w:rPr>
        <w:t>Hold a go/no-go review with documented unresolved risks and owners.</w:t>
      </w:r>
    </w:p>
    <w:p>
      <w:pPr>
        <w:pStyle w:val="Heading1"/>
      </w:pPr>
      <w:r>
        <w:rPr>
          <w:rFonts w:ascii="Calibri" w:hAnsi="Calibri" w:eastAsia="Calibri"/>
          <w:b/>
          <w:color w:val="2E74B5"/>
          <w:sz w:val="32"/>
        </w:rPr>
        <w:t>17. Decision gates for leadership</w:t>
      </w:r>
    </w:p>
    <w:p>
      <w:r>
        <w:rPr>
          <w:rFonts w:ascii="Calibri" w:hAnsi="Calibri" w:eastAsia="Calibri"/>
          <w:b w:val="0"/>
          <w:color w:val="1F2933"/>
        </w:rPr>
        <w:t>Leadership should approve the following in sequence:</w:t>
      </w:r>
    </w:p>
    <w:p>
      <w:pPr>
        <w:jc w:val="left"/>
        <w:numPr>
          <w:ilvl w:val="0"/>
          <w:numId w:val="16"/>
        </w:numPr>
      </w:pPr>
      <w:r>
        <w:rPr>
          <w:rFonts w:ascii="Calibri" w:hAnsi="Calibri" w:eastAsia="Calibri"/>
          <w:b/>
          <w:color w:val="1F2933"/>
        </w:rPr>
        <w:t>Architecture decision:</w:t>
      </w:r>
      <w:r>
        <w:rPr>
          <w:rFonts w:ascii="Calibri" w:hAnsi="Calibri" w:eastAsia="Calibri"/>
          <w:b w:val="0"/>
          <w:color w:val="1F2933"/>
        </w:rPr>
        <w:t xml:space="preserve"> federated edge plus national control plane; no indiscriminate central patient warehouse.</w:t>
      </w:r>
    </w:p>
    <w:p>
      <w:pPr>
        <w:jc w:val="left"/>
        <w:numPr>
          <w:ilvl w:val="0"/>
          <w:numId w:val="16"/>
        </w:numPr>
      </w:pPr>
      <w:r>
        <w:rPr>
          <w:rFonts w:ascii="Calibri" w:hAnsi="Calibri" w:eastAsia="Calibri"/>
          <w:b/>
          <w:color w:val="1F2933"/>
        </w:rPr>
        <w:t>Programme decision:</w:t>
      </w:r>
      <w:r>
        <w:rPr>
          <w:rFonts w:ascii="Calibri" w:hAnsi="Calibri" w:eastAsia="Calibri"/>
          <w:b w:val="0"/>
          <w:color w:val="1F2933"/>
        </w:rPr>
        <w:t xml:space="preserve"> AMR is a One Health mission workstream with dedicated national and State/UT operating units.</w:t>
      </w:r>
    </w:p>
    <w:p>
      <w:pPr>
        <w:jc w:val="left"/>
        <w:numPr>
          <w:ilvl w:val="0"/>
          <w:numId w:val="16"/>
        </w:numPr>
      </w:pPr>
      <w:r>
        <w:rPr>
          <w:rFonts w:ascii="Calibri" w:hAnsi="Calibri" w:eastAsia="Calibri"/>
          <w:b/>
          <w:color w:val="1F2933"/>
        </w:rPr>
        <w:t>Scope decision:</w:t>
      </w:r>
      <w:r>
        <w:rPr>
          <w:rFonts w:ascii="Calibri" w:hAnsi="Calibri" w:eastAsia="Calibri"/>
          <w:b w:val="0"/>
          <w:color w:val="1F2933"/>
        </w:rPr>
        <w:t xml:space="preserve"> first release focuses on trustworthy human lab surveillance and action workflow; multi-sector and AMU/AMC follow through planned modules.</w:t>
      </w:r>
    </w:p>
    <w:p>
      <w:pPr>
        <w:jc w:val="left"/>
        <w:numPr>
          <w:ilvl w:val="0"/>
          <w:numId w:val="16"/>
        </w:numPr>
      </w:pPr>
      <w:r>
        <w:rPr>
          <w:rFonts w:ascii="Calibri" w:hAnsi="Calibri" w:eastAsia="Calibri"/>
          <w:b/>
          <w:color w:val="1F2933"/>
        </w:rPr>
        <w:t>Data decision:</w:t>
      </w:r>
      <w:r>
        <w:rPr>
          <w:rFonts w:ascii="Calibri" w:hAnsi="Calibri" w:eastAsia="Calibri"/>
          <w:b w:val="0"/>
          <w:color w:val="1F2933"/>
        </w:rPr>
        <w:t xml:space="preserve"> approve minimum datasets, classifications, sharing schedules and public-release rules.</w:t>
      </w:r>
    </w:p>
    <w:p>
      <w:pPr>
        <w:jc w:val="left"/>
        <w:numPr>
          <w:ilvl w:val="0"/>
          <w:numId w:val="16"/>
        </w:numPr>
      </w:pPr>
      <w:r>
        <w:rPr>
          <w:rFonts w:ascii="Calibri" w:hAnsi="Calibri" w:eastAsia="Calibri"/>
          <w:b/>
          <w:color w:val="1F2933"/>
        </w:rPr>
        <w:t>Standards decision:</w:t>
      </w:r>
      <w:r>
        <w:rPr>
          <w:rFonts w:ascii="Calibri" w:hAnsi="Calibri" w:eastAsia="Calibri"/>
          <w:b w:val="0"/>
          <w:color w:val="1F2933"/>
        </w:rPr>
        <w:t xml:space="preserve"> mandate the national implementation guide and conformance suite for all vendors and sector connectors.</w:t>
      </w:r>
    </w:p>
    <w:p>
      <w:pPr>
        <w:jc w:val="left"/>
        <w:numPr>
          <w:ilvl w:val="0"/>
          <w:numId w:val="16"/>
        </w:numPr>
      </w:pPr>
      <w:r>
        <w:rPr>
          <w:rFonts w:ascii="Calibri" w:hAnsi="Calibri" w:eastAsia="Calibri"/>
          <w:b/>
          <w:color w:val="1F2933"/>
        </w:rPr>
        <w:t>Security decision:</w:t>
      </w:r>
      <w:r>
        <w:rPr>
          <w:rFonts w:ascii="Calibri" w:hAnsi="Calibri" w:eastAsia="Calibri"/>
          <w:b w:val="0"/>
          <w:color w:val="1F2933"/>
        </w:rPr>
        <w:t xml:space="preserve"> require PKI/MFA, signed software, SOC integration, independent assurance and tested DR before national scale.</w:t>
      </w:r>
    </w:p>
    <w:p>
      <w:pPr>
        <w:jc w:val="left"/>
        <w:numPr>
          <w:ilvl w:val="0"/>
          <w:numId w:val="16"/>
        </w:numPr>
      </w:pPr>
      <w:r>
        <w:rPr>
          <w:rFonts w:ascii="Calibri" w:hAnsi="Calibri" w:eastAsia="Calibri"/>
          <w:b/>
          <w:color w:val="1F2933"/>
        </w:rPr>
        <w:t>Scale decision:</w:t>
      </w:r>
      <w:r>
        <w:rPr>
          <w:rFonts w:ascii="Calibri" w:hAnsi="Calibri" w:eastAsia="Calibri"/>
          <w:b w:val="0"/>
          <w:color w:val="1F2933"/>
        </w:rPr>
        <w:t xml:space="preserve"> expand only after pilot evidence demonstrates quality, actionability, user adoption and sustainable unit cost.</w:t>
      </w:r>
    </w:p>
    <w:p>
      <w:pPr>
        <w:pStyle w:val="Heading1"/>
      </w:pPr>
      <w:r>
        <w:rPr>
          <w:rFonts w:ascii="Calibri" w:hAnsi="Calibri" w:eastAsia="Calibri"/>
          <w:b/>
          <w:color w:val="2E74B5"/>
          <w:sz w:val="32"/>
        </w:rPr>
        <w:t>18. Definition of a successful national ecosystem</w:t>
      </w:r>
    </w:p>
    <w:p>
      <w:r>
        <w:rPr>
          <w:rFonts w:ascii="Calibri" w:hAnsi="Calibri" w:eastAsia="Calibri"/>
          <w:b w:val="0"/>
          <w:color w:val="1F2933"/>
        </w:rPr>
        <w:t>The ecosystem is successful when a district, State/UT and national authority can answer—using the same governed evidence—what resistance or antimicrobial-use signal changed, whether the change is real, which populations/sectors are affected, what uncertainty exists, who owns the response, which action is overdue and whether the intervention worked.</w:t>
      </w:r>
    </w:p>
    <w:p>
      <w:r>
        <w:rPr>
          <w:rFonts w:ascii="Calibri" w:hAnsi="Calibri" w:eastAsia="Calibri"/>
          <w:b w:val="0"/>
          <w:color w:val="1F2933"/>
        </w:rPr>
        <w:t>It is not successful merely because desktop software is installed, sites appear on a map, data are uploaded, dashboards refresh, or an AI model generates a narrative.</w:t>
      </w:r>
    </w:p>
    <w:p>
      <w:pPr>
        <w:pStyle w:val="Heading1"/>
      </w:pPr>
      <w:r>
        <w:rPr>
          <w:rFonts w:ascii="Calibri" w:hAnsi="Calibri" w:eastAsia="Calibri"/>
          <w:b/>
          <w:color w:val="2E74B5"/>
          <w:sz w:val="32"/>
        </w:rPr>
        <w:t>Appendix A. Current codebase evidence used in this assessment</w:t>
      </w:r>
    </w:p>
    <w:p>
      <w:pPr>
        <w:jc w:val="left"/>
        <w:numPr>
          <w:ilvl w:val="0"/>
          <w:numId w:val="10"/>
        </w:numPr>
      </w:pPr>
      <w:r>
        <w:rPr>
          <w:rFonts w:ascii="Consolas" w:hAnsi="Consolas" w:eastAsia="Consolas"/>
          <w:color w:val="1F4D78"/>
          <w:sz w:val="20"/>
        </w:rPr>
        <w:t>desktop_app/database.py</w:t>
      </w:r>
      <w:r>
        <w:rPr>
          <w:rFonts w:ascii="Calibri" w:hAnsi="Calibri" w:eastAsia="Calibri"/>
          <w:b w:val="0"/>
          <w:color w:val="1F2933"/>
        </w:rPr>
        <w:t>: local SQLite persistence and reference/configuration management.</w:t>
      </w:r>
    </w:p>
    <w:p>
      <w:pPr>
        <w:jc w:val="left"/>
        <w:numPr>
          <w:ilvl w:val="0"/>
          <w:numId w:val="10"/>
        </w:numPr>
      </w:pPr>
      <w:r>
        <w:rPr>
          <w:rFonts w:ascii="Consolas" w:hAnsi="Consolas" w:eastAsia="Consolas"/>
          <w:color w:val="1F4D78"/>
          <w:sz w:val="20"/>
        </w:rPr>
        <w:t>desktop_app/data_entry.py</w:t>
      </w:r>
      <w:r>
        <w:rPr>
          <w:rFonts w:ascii="Calibri" w:hAnsi="Calibri" w:eastAsia="Calibri"/>
          <w:b w:val="0"/>
          <w:color w:val="1F2933"/>
        </w:rPr>
        <w:t xml:space="preserve">, </w:t>
      </w:r>
      <w:r>
        <w:rPr>
          <w:rFonts w:ascii="Consolas" w:hAnsi="Consolas" w:eastAsia="Consolas"/>
          <w:color w:val="1F4D78"/>
          <w:sz w:val="20"/>
        </w:rPr>
        <w:t>import_screen.py</w:t>
      </w:r>
      <w:r>
        <w:rPr>
          <w:rFonts w:ascii="Calibri" w:hAnsi="Calibri" w:eastAsia="Calibri"/>
          <w:b w:val="0"/>
          <w:color w:val="1F2933"/>
        </w:rPr>
        <w:t xml:space="preserve">, </w:t>
      </w:r>
      <w:r>
        <w:rPr>
          <w:rFonts w:ascii="Consolas" w:hAnsi="Consolas" w:eastAsia="Consolas"/>
          <w:color w:val="1F4D78"/>
          <w:sz w:val="20"/>
        </w:rPr>
        <w:t>lab_config.py</w:t>
      </w:r>
      <w:r>
        <w:rPr>
          <w:rFonts w:ascii="Calibri" w:hAnsi="Calibri" w:eastAsia="Calibri"/>
          <w:b w:val="0"/>
          <w:color w:val="1F2933"/>
        </w:rPr>
        <w:t>: facility configuration, isolate entry and data import.</w:t>
      </w:r>
    </w:p>
    <w:p>
      <w:pPr>
        <w:jc w:val="left"/>
        <w:numPr>
          <w:ilvl w:val="0"/>
          <w:numId w:val="10"/>
        </w:numPr>
      </w:pPr>
      <w:r>
        <w:rPr>
          <w:rFonts w:ascii="Consolas" w:hAnsi="Consolas" w:eastAsia="Consolas"/>
          <w:color w:val="1F4D78"/>
          <w:sz w:val="20"/>
        </w:rPr>
        <w:t>desktop_app/analysis.py</w:t>
      </w:r>
      <w:r>
        <w:rPr>
          <w:rFonts w:ascii="Calibri" w:hAnsi="Calibri" w:eastAsia="Calibri"/>
          <w:b w:val="0"/>
          <w:color w:val="1F2933"/>
        </w:rPr>
        <w:t xml:space="preserve">, </w:t>
      </w:r>
      <w:r>
        <w:rPr>
          <w:rFonts w:ascii="Consolas" w:hAnsi="Consolas" w:eastAsia="Consolas"/>
          <w:color w:val="1F4D78"/>
          <w:sz w:val="20"/>
        </w:rPr>
        <w:t>whonet_support.py</w:t>
      </w:r>
      <w:r>
        <w:rPr>
          <w:rFonts w:ascii="Calibri" w:hAnsi="Calibri" w:eastAsia="Calibri"/>
          <w:b w:val="0"/>
          <w:color w:val="1F2933"/>
        </w:rPr>
        <w:t xml:space="preserve">, </w:t>
      </w:r>
      <w:r>
        <w:rPr>
          <w:rFonts w:ascii="Consolas" w:hAnsi="Consolas" w:eastAsia="Consolas"/>
          <w:color w:val="1F4D78"/>
          <w:sz w:val="20"/>
        </w:rPr>
        <w:t>expert_system.py</w:t>
      </w:r>
      <w:r>
        <w:rPr>
          <w:rFonts w:ascii="Calibri" w:hAnsi="Calibri" w:eastAsia="Calibri"/>
          <w:b w:val="0"/>
          <w:color w:val="1F2933"/>
        </w:rPr>
        <w:t>: analysis, deduplication/infection-origin support and alert evaluation.</w:t>
      </w:r>
    </w:p>
    <w:p>
      <w:pPr>
        <w:jc w:val="left"/>
        <w:numPr>
          <w:ilvl w:val="0"/>
          <w:numId w:val="10"/>
        </w:numPr>
      </w:pPr>
      <w:r>
        <w:rPr>
          <w:rFonts w:ascii="Consolas" w:hAnsi="Consolas" w:eastAsia="Consolas"/>
          <w:color w:val="1F4D78"/>
          <w:sz w:val="20"/>
        </w:rPr>
        <w:t>desktop_app/interoperability.py</w:t>
      </w:r>
      <w:r>
        <w:rPr>
          <w:rFonts w:ascii="Calibri" w:hAnsi="Calibri" w:eastAsia="Calibri"/>
          <w:b w:val="0"/>
          <w:color w:val="1F2933"/>
        </w:rPr>
        <w:t xml:space="preserve">, </w:t>
      </w:r>
      <w:r>
        <w:rPr>
          <w:rFonts w:ascii="Consolas" w:hAnsi="Consolas" w:eastAsia="Consolas"/>
          <w:color w:val="1F4D78"/>
          <w:sz w:val="20"/>
        </w:rPr>
        <w:t>whonet_csv_export.py</w:t>
      </w:r>
      <w:r>
        <w:rPr>
          <w:rFonts w:ascii="Calibri" w:hAnsi="Calibri" w:eastAsia="Calibri"/>
          <w:b w:val="0"/>
          <w:color w:val="1F2933"/>
        </w:rPr>
        <w:t xml:space="preserve">, </w:t>
      </w:r>
      <w:r>
        <w:rPr>
          <w:rFonts w:ascii="Consolas" w:hAnsi="Consolas" w:eastAsia="Consolas"/>
          <w:color w:val="1F4D78"/>
          <w:sz w:val="20"/>
        </w:rPr>
        <w:t>aggregate_measures.py</w:t>
      </w:r>
      <w:r>
        <w:rPr>
          <w:rFonts w:ascii="Calibri" w:hAnsi="Calibri" w:eastAsia="Calibri"/>
          <w:b w:val="0"/>
          <w:color w:val="1F2933"/>
        </w:rPr>
        <w:t>: HL7/FHIR/WHONET and aggregate measures.</w:t>
      </w:r>
    </w:p>
    <w:p>
      <w:pPr>
        <w:jc w:val="left"/>
        <w:numPr>
          <w:ilvl w:val="0"/>
          <w:numId w:val="10"/>
        </w:numPr>
      </w:pPr>
      <w:r>
        <w:rPr>
          <w:rFonts w:ascii="Consolas" w:hAnsi="Consolas" w:eastAsia="Consolas"/>
          <w:color w:val="1F4D78"/>
          <w:sz w:val="20"/>
        </w:rPr>
        <w:t>desktop_app/sync_module.py</w:t>
      </w:r>
      <w:r>
        <w:rPr>
          <w:rFonts w:ascii="Calibri" w:hAnsi="Calibri" w:eastAsia="Calibri"/>
          <w:b w:val="0"/>
          <w:color w:val="1F2933"/>
        </w:rPr>
        <w:t xml:space="preserve">, </w:t>
      </w:r>
      <w:r>
        <w:rPr>
          <w:rFonts w:ascii="Consolas" w:hAnsi="Consolas" w:eastAsia="Consolas"/>
          <w:color w:val="1F4D78"/>
          <w:sz w:val="20"/>
        </w:rPr>
        <w:t>SYNC_PROTOCOL.md</w:t>
      </w:r>
      <w:r>
        <w:rPr>
          <w:rFonts w:ascii="Calibri" w:hAnsi="Calibri" w:eastAsia="Calibri"/>
          <w:b w:val="0"/>
          <w:color w:val="1F2933"/>
        </w:rPr>
        <w:t>: aggregate-only long-poll, bearer/TLS and FHIR response workflow.</w:t>
      </w:r>
    </w:p>
    <w:p>
      <w:pPr>
        <w:jc w:val="left"/>
        <w:numPr>
          <w:ilvl w:val="0"/>
          <w:numId w:val="10"/>
        </w:numPr>
      </w:pPr>
      <w:r>
        <w:rPr>
          <w:rFonts w:ascii="Consolas" w:hAnsi="Consolas" w:eastAsia="Consolas"/>
          <w:color w:val="1F4D78"/>
          <w:sz w:val="20"/>
        </w:rPr>
        <w:t>Server/amrit_central_server/sites</w:t>
      </w:r>
      <w:r>
        <w:rPr>
          <w:rFonts w:ascii="Calibri" w:hAnsi="Calibri" w:eastAsia="Calibri"/>
          <w:b w:val="0"/>
          <w:color w:val="1F2933"/>
        </w:rPr>
        <w:t xml:space="preserve">, </w:t>
      </w:r>
      <w:r>
        <w:rPr>
          <w:rFonts w:ascii="Consolas" w:hAnsi="Consolas" w:eastAsia="Consolas"/>
          <w:color w:val="1F4D78"/>
          <w:sz w:val="20"/>
        </w:rPr>
        <w:t>queries</w:t>
      </w:r>
      <w:r>
        <w:rPr>
          <w:rFonts w:ascii="Calibri" w:hAnsi="Calibri" w:eastAsia="Calibri"/>
          <w:b w:val="0"/>
          <w:color w:val="1F2933"/>
        </w:rPr>
        <w:t xml:space="preserve">, </w:t>
      </w:r>
      <w:r>
        <w:rPr>
          <w:rFonts w:ascii="Consolas" w:hAnsi="Consolas" w:eastAsia="Consolas"/>
          <w:color w:val="1F4D78"/>
          <w:sz w:val="20"/>
        </w:rPr>
        <w:t>analytics</w:t>
      </w:r>
      <w:r>
        <w:rPr>
          <w:rFonts w:ascii="Calibri" w:hAnsi="Calibri" w:eastAsia="Calibri"/>
          <w:b w:val="0"/>
          <w:color w:val="1F2933"/>
        </w:rPr>
        <w:t xml:space="preserve">, </w:t>
      </w:r>
      <w:r>
        <w:rPr>
          <w:rFonts w:ascii="Consolas" w:hAnsi="Consolas" w:eastAsia="Consolas"/>
          <w:color w:val="1F4D78"/>
          <w:sz w:val="20"/>
        </w:rPr>
        <w:t>metrics</w:t>
      </w:r>
      <w:r>
        <w:rPr>
          <w:rFonts w:ascii="Calibri" w:hAnsi="Calibri" w:eastAsia="Calibri"/>
          <w:b w:val="0"/>
          <w:color w:val="1F2933"/>
        </w:rPr>
        <w:t xml:space="preserve">, </w:t>
      </w:r>
      <w:r>
        <w:rPr>
          <w:rFonts w:ascii="Consolas" w:hAnsi="Consolas" w:eastAsia="Consolas"/>
          <w:color w:val="1F4D78"/>
          <w:sz w:val="20"/>
        </w:rPr>
        <w:t>dashboards</w:t>
      </w:r>
      <w:r>
        <w:rPr>
          <w:rFonts w:ascii="Calibri" w:hAnsi="Calibri" w:eastAsia="Calibri"/>
          <w:b w:val="0"/>
          <w:color w:val="1F2933"/>
        </w:rPr>
        <w:t xml:space="preserve">, </w:t>
      </w:r>
      <w:r>
        <w:rPr>
          <w:rFonts w:ascii="Consolas" w:hAnsi="Consolas" w:eastAsia="Consolas"/>
          <w:color w:val="1F4D78"/>
          <w:sz w:val="20"/>
        </w:rPr>
        <w:t>actionplans</w:t>
      </w:r>
      <w:r>
        <w:rPr>
          <w:rFonts w:ascii="Calibri" w:hAnsi="Calibri" w:eastAsia="Calibri"/>
          <w:b w:val="0"/>
          <w:color w:val="1F2933"/>
        </w:rPr>
        <w:t>: site identity, federated queries, aggregates, indicators, scoped dashboards and response workflow.</w:t>
      </w:r>
    </w:p>
    <w:p>
      <w:pPr>
        <w:jc w:val="left"/>
        <w:numPr>
          <w:ilvl w:val="0"/>
          <w:numId w:val="10"/>
        </w:numPr>
      </w:pPr>
      <w:r>
        <w:rPr>
          <w:rFonts w:ascii="Consolas" w:hAnsi="Consolas" w:eastAsia="Consolas"/>
          <w:color w:val="1F4D78"/>
          <w:sz w:val="20"/>
        </w:rPr>
        <w:t>Server/amrit_central_server/central/settings.py</w:t>
      </w:r>
      <w:r>
        <w:rPr>
          <w:rFonts w:ascii="Calibri" w:hAnsi="Calibri" w:eastAsia="Calibri"/>
          <w:b w:val="0"/>
          <w:color w:val="1F2933"/>
        </w:rPr>
        <w:t xml:space="preserve">, </w:t>
      </w:r>
      <w:r>
        <w:rPr>
          <w:rFonts w:ascii="Consolas" w:hAnsi="Consolas" w:eastAsia="Consolas"/>
          <w:color w:val="1F4D78"/>
          <w:sz w:val="20"/>
        </w:rPr>
        <w:t>docker-compose.yml</w:t>
      </w:r>
      <w:r>
        <w:rPr>
          <w:rFonts w:ascii="Calibri" w:hAnsi="Calibri" w:eastAsia="Calibri"/>
          <w:b w:val="0"/>
          <w:color w:val="1F2933"/>
        </w:rPr>
        <w:t>: current security/runtime configuration and deployment topology.</w:t>
      </w:r>
    </w:p>
    <w:p>
      <w:pPr>
        <w:pStyle w:val="Heading1"/>
      </w:pPr>
      <w:r>
        <w:rPr>
          <w:rFonts w:ascii="Calibri" w:hAnsi="Calibri" w:eastAsia="Calibri"/>
          <w:b/>
          <w:color w:val="2E74B5"/>
          <w:sz w:val="32"/>
        </w:rPr>
        <w:t>Appendix B. Reference data-product contracts</w:t>
      </w:r>
    </w:p>
    <w:p>
      <w:pPr>
        <w:pStyle w:val="Heading2"/>
      </w:pPr>
      <w:r>
        <w:rPr>
          <w:rFonts w:ascii="Calibri" w:hAnsi="Calibri" w:eastAsia="Calibri"/>
          <w:b/>
          <w:color w:val="2E74B5"/>
          <w:sz w:val="26"/>
        </w:rPr>
        <w:t>B.1 Human AMR aggregate product</w:t>
      </w:r>
    </w:p>
    <w:p>
      <w:r>
        <w:rPr>
          <w:rFonts w:ascii="Calibri" w:hAnsi="Calibri" w:eastAsia="Calibri"/>
          <w:b w:val="0"/>
          <w:color w:val="1F2933"/>
        </w:rPr>
        <w:t>Required dimensions: period, facility/site, State/district, specimen category, organism, antimicrobial, method, guideline/year, interpretation, first-isolate rule and patient/location class where lawful. Required measures: R/I/S counts, tested denominator, total eligible isolates, missing/invalid counts, participating sites, confidence interval and suppression status.</w:t>
      </w:r>
    </w:p>
    <w:p>
      <w:pPr>
        <w:pStyle w:val="Heading2"/>
      </w:pPr>
      <w:r>
        <w:rPr>
          <w:rFonts w:ascii="Calibri" w:hAnsi="Calibri" w:eastAsia="Calibri"/>
          <w:b/>
          <w:color w:val="2E74B5"/>
          <w:sz w:val="26"/>
        </w:rPr>
        <w:t>B.2 Human AMC product</w:t>
      </w:r>
    </w:p>
    <w:p>
      <w:r>
        <w:rPr>
          <w:rFonts w:ascii="Calibri" w:hAnsi="Calibri" w:eastAsia="Calibri"/>
          <w:b w:val="0"/>
          <w:color w:val="1F2933"/>
        </w:rPr>
        <w:t>Required dimensions: period, geography, setting, product/substance, ATC, route, formulation, sector and AWaRe. Measures: packs/units, grams active ingredient, DDD, DDD per 1,000 inhabitants/day or 100 bed-days, population/bed-day denominator, source coverage and exclusions.</w:t>
      </w:r>
    </w:p>
    <w:p>
      <w:pPr>
        <w:pStyle w:val="Heading2"/>
      </w:pPr>
      <w:r>
        <w:rPr>
          <w:rFonts w:ascii="Calibri" w:hAnsi="Calibri" w:eastAsia="Calibri"/>
          <w:b/>
          <w:color w:val="2E74B5"/>
          <w:sz w:val="26"/>
        </w:rPr>
        <w:t>B.3 Animal AMU product</w:t>
      </w:r>
    </w:p>
    <w:p>
      <w:r>
        <w:rPr>
          <w:rFonts w:ascii="Calibri" w:hAnsi="Calibri" w:eastAsia="Calibri"/>
          <w:b w:val="0"/>
          <w:color w:val="1F2933"/>
        </w:rPr>
        <w:t>Required dimensions: period, animal species/production class, antimicrobial/class, route, purpose, source and geography. Measures: quantity active ingredient, animal population/biomass denominator, coverage, validation status and national reporting mapping.</w:t>
      </w:r>
    </w:p>
    <w:p>
      <w:pPr>
        <w:pStyle w:val="Heading2"/>
      </w:pPr>
      <w:r>
        <w:rPr>
          <w:rFonts w:ascii="Calibri" w:hAnsi="Calibri" w:eastAsia="Calibri"/>
          <w:b/>
          <w:color w:val="2E74B5"/>
          <w:sz w:val="26"/>
        </w:rPr>
        <w:t>B.4 Event/alert product</w:t>
      </w:r>
    </w:p>
    <w:p>
      <w:r>
        <w:rPr>
          <w:rFonts w:ascii="Calibri" w:hAnsi="Calibri" w:eastAsia="Calibri"/>
          <w:b w:val="0"/>
          <w:color w:val="1F2933"/>
        </w:rPr>
        <w:t>Required: event identifier/type, affected scope, detection time, trigger/rule version, evidence summary, severity, confidence/uncertainty, verification status, owning organisation/user, SLA, linked playbook, actions, communications and closure outcome.</w:t>
      </w:r>
    </w:p>
    <w:p>
      <w:pPr>
        <w:pStyle w:val="Heading1"/>
      </w:pPr>
      <w:r>
        <w:rPr>
          <w:rFonts w:ascii="Calibri" w:hAnsi="Calibri" w:eastAsia="Calibri"/>
          <w:b/>
          <w:color w:val="2E74B5"/>
          <w:sz w:val="32"/>
        </w:rPr>
        <w:t>Appendix C. Minimum national dashboard views</w:t>
      </w:r>
    </w:p>
    <w:p>
      <w:r>
        <w:rPr>
          <w:rFonts w:ascii="Calibri" w:hAnsi="Calibri" w:eastAsia="Calibri"/>
          <w:b/>
          <w:color w:val="1F2933"/>
        </w:rPr>
        <w:t>Executive:</w:t>
      </w:r>
      <w:r>
        <w:rPr>
          <w:rFonts w:ascii="Calibri" w:hAnsi="Calibri" w:eastAsia="Calibri"/>
          <w:b w:val="0"/>
          <w:color w:val="1F2933"/>
        </w:rPr>
        <w:t xml:space="preserve"> priority risks, new verified alerts, overdue critical actions, data freshness, geographic/sector coverage and NAP/SAP delivery exceptions.</w:t>
      </w:r>
    </w:p>
    <w:p>
      <w:r>
        <w:rPr>
          <w:rFonts w:ascii="Calibri" w:hAnsi="Calibri" w:eastAsia="Calibri"/>
          <w:b/>
          <w:color w:val="1F2933"/>
        </w:rPr>
        <w:t>Epidemiology:</w:t>
      </w:r>
      <w:r>
        <w:rPr>
          <w:rFonts w:ascii="Calibri" w:hAnsi="Calibri" w:eastAsia="Calibri"/>
          <w:b w:val="0"/>
          <w:color w:val="1F2933"/>
        </w:rPr>
        <w:t xml:space="preserve"> organism–drug trends, denominators, confidence intervals, site mix, sampling frame, first-isolate logic, quality flags and cross-sector evidence.</w:t>
      </w:r>
    </w:p>
    <w:p>
      <w:r>
        <w:rPr>
          <w:rFonts w:ascii="Calibri" w:hAnsi="Calibri" w:eastAsia="Calibri"/>
          <w:b/>
          <w:color w:val="1F2933"/>
        </w:rPr>
        <w:t>Laboratory:</w:t>
      </w:r>
      <w:r>
        <w:rPr>
          <w:rFonts w:ascii="Calibri" w:hAnsi="Calibri" w:eastAsia="Calibri"/>
          <w:b w:val="0"/>
          <w:color w:val="1F2933"/>
        </w:rPr>
        <w:t xml:space="preserve"> QC/EQA, turnaround, rejection, missingness, breakpoint/version drift, referral and unresolved validation.</w:t>
      </w:r>
    </w:p>
    <w:p>
      <w:r>
        <w:rPr>
          <w:rFonts w:ascii="Calibri" w:hAnsi="Calibri" w:eastAsia="Calibri"/>
          <w:b/>
          <w:color w:val="1F2933"/>
        </w:rPr>
        <w:t>Stewardship/IPC:</w:t>
      </w:r>
      <w:r>
        <w:rPr>
          <w:rFonts w:ascii="Calibri" w:hAnsi="Calibri" w:eastAsia="Calibri"/>
          <w:b w:val="0"/>
          <w:color w:val="1F2933"/>
        </w:rPr>
        <w:t xml:space="preserve"> AWaRe, DDD/DOT, Reserve use, antibiotic time-outs, antibiogram, HAI/device rates and action completion.</w:t>
      </w:r>
    </w:p>
    <w:p>
      <w:r>
        <w:rPr>
          <w:rFonts w:ascii="Calibri" w:hAnsi="Calibri" w:eastAsia="Calibri"/>
          <w:b/>
          <w:color w:val="1F2933"/>
        </w:rPr>
        <w:t>Veterinary/food/environment:</w:t>
      </w:r>
      <w:r>
        <w:rPr>
          <w:rFonts w:ascii="Calibri" w:hAnsi="Calibri" w:eastAsia="Calibri"/>
          <w:b w:val="0"/>
          <w:color w:val="1F2933"/>
        </w:rPr>
        <w:t xml:space="preserve"> AMR/AMU/residue trends, host/commodity/matrix, sampling coverage, methods, biosecurity/effluent actions and regulatory closure.</w:t>
      </w:r>
    </w:p>
    <w:p>
      <w:r>
        <w:rPr>
          <w:rFonts w:ascii="Calibri" w:hAnsi="Calibri" w:eastAsia="Calibri"/>
          <w:b/>
          <w:color w:val="1F2933"/>
        </w:rPr>
        <w:t>Programme:</w:t>
      </w:r>
      <w:r>
        <w:rPr>
          <w:rFonts w:ascii="Calibri" w:hAnsi="Calibri" w:eastAsia="Calibri"/>
          <w:b w:val="0"/>
          <w:color w:val="1F2933"/>
        </w:rPr>
        <w:t xml:space="preserve"> NAP/SAP milestones, budgets/evidence, training, facility coverage, implementation delays and meeting decisions.</w:t>
      </w:r>
    </w:p>
    <w:p>
      <w:r>
        <w:rPr>
          <w:rFonts w:ascii="Calibri" w:hAnsi="Calibri" w:eastAsia="Calibri"/>
          <w:b/>
          <w:color w:val="1F2933"/>
        </w:rPr>
        <w:t>Public:</w:t>
      </w:r>
      <w:r>
        <w:rPr>
          <w:rFonts w:ascii="Calibri" w:hAnsi="Calibri" w:eastAsia="Calibri"/>
          <w:b w:val="0"/>
          <w:color w:val="1F2933"/>
        </w:rPr>
        <w:t xml:space="preserve"> delayed/coarsened trends, plain-language interpretation, methods, uncertainty, prevention/stewardship messages and no facility league table.</w:t>
      </w:r>
    </w:p>
    <w:p>
      <w:pPr>
        <w:pStyle w:val="Heading1"/>
      </w:pPr>
      <w:r>
        <w:rPr>
          <w:rFonts w:ascii="Calibri" w:hAnsi="Calibri" w:eastAsia="Calibri"/>
          <w:b/>
          <w:color w:val="2E74B5"/>
          <w:sz w:val="32"/>
        </w:rPr>
        <w:t>Appendix D. Official references</w:t>
      </w:r>
    </w:p>
    <w:p>
      <w:pPr>
        <w:jc w:val="left"/>
        <w:numPr>
          <w:ilvl w:val="0"/>
          <w:numId w:val="10"/>
        </w:numPr>
      </w:pPr>
      <w:r>
        <w:rPr>
          <w:rFonts w:ascii="Calibri" w:hAnsi="Calibri" w:eastAsia="Calibri"/>
          <w:b/>
          <w:color w:val="1F2933"/>
        </w:rPr>
        <w:t>R1.</w:t>
      </w:r>
      <w:r>
        <w:rPr>
          <w:rFonts w:ascii="Calibri" w:hAnsi="Calibri" w:eastAsia="Calibri"/>
          <w:b w:val="0"/>
          <w:color w:val="1F2933"/>
        </w:rPr>
        <w:t xml:space="preserve"> Office of the Principal Scientific Adviser, *State Consultations – One Health Dashboard Framework Wireframe*, 6 July 2026 (user-provided document).</w:t>
      </w:r>
    </w:p>
    <w:p>
      <w:pPr>
        <w:jc w:val="left"/>
        <w:numPr>
          <w:ilvl w:val="0"/>
          <w:numId w:val="10"/>
        </w:numPr>
      </w:pPr>
      <w:r>
        <w:rPr>
          <w:rFonts w:ascii="Calibri" w:hAnsi="Calibri" w:eastAsia="Calibri"/>
          <w:b/>
          <w:color w:val="1F2933"/>
        </w:rPr>
        <w:t>R2.</w:t>
      </w:r>
      <w:r>
        <w:rPr>
          <w:rFonts w:ascii="Calibri" w:hAnsi="Calibri" w:eastAsia="Calibri"/>
          <w:b w:val="0"/>
          <w:color w:val="1F2933"/>
        </w:rPr>
        <w:t xml:space="preserve"> Office of the Principal Scientific Adviser, National One Health Mission: </w:t>
      </w:r>
      <w:hyperlink r:id="rId14">
        <w:r>
          <w:rPr>
            <w:color w:val="2E74B5"/>
            <w:u w:val="single"/>
          </w:rPr>
          <w:t>https://psa.gov.in/oneHealthMission</w:t>
        </w:r>
      </w:hyperlink>
    </w:p>
    <w:p>
      <w:pPr>
        <w:jc w:val="left"/>
        <w:numPr>
          <w:ilvl w:val="0"/>
          <w:numId w:val="10"/>
        </w:numPr>
      </w:pPr>
      <w:r>
        <w:rPr>
          <w:rFonts w:ascii="Calibri" w:hAnsi="Calibri" w:eastAsia="Calibri"/>
          <w:b/>
          <w:color w:val="1F2933"/>
        </w:rPr>
        <w:t>R3.</w:t>
      </w:r>
      <w:r>
        <w:rPr>
          <w:rFonts w:ascii="Calibri" w:hAnsi="Calibri" w:eastAsia="Calibri"/>
          <w:b w:val="0"/>
          <w:color w:val="1F2933"/>
        </w:rPr>
        <w:t xml:space="preserve"> Office of the Principal Scientific Adviser, *One Health Governance Structure for State/Union Territory: A Model Framework*, December 2025: </w:t>
      </w:r>
      <w:hyperlink r:id="rId15">
        <w:r>
          <w:rPr>
            <w:color w:val="2E74B5"/>
            <w:u w:val="single"/>
          </w:rPr>
          <w:t>https://psa.gov.in/CMS/web/sites/default/files/publication/OH%20Model%20Governance%20Framework_17Dec2025_1.pdf</w:t>
        </w:r>
      </w:hyperlink>
    </w:p>
    <w:p>
      <w:pPr>
        <w:jc w:val="left"/>
        <w:numPr>
          <w:ilvl w:val="0"/>
          <w:numId w:val="10"/>
        </w:numPr>
      </w:pPr>
      <w:r>
        <w:rPr>
          <w:rFonts w:ascii="Calibri" w:hAnsi="Calibri" w:eastAsia="Calibri"/>
          <w:b/>
          <w:color w:val="1F2933"/>
        </w:rPr>
        <w:t>R4.</w:t>
      </w:r>
      <w:r>
        <w:rPr>
          <w:rFonts w:ascii="Calibri" w:hAnsi="Calibri" w:eastAsia="Calibri"/>
          <w:b w:val="0"/>
          <w:color w:val="1F2933"/>
        </w:rPr>
        <w:t xml:space="preserve"> National Centre for Disease Control, *National Action Plan on Antimicrobial Resistance 2.0 (2025–2029)*, November 2025: </w:t>
      </w:r>
      <w:hyperlink r:id="rId16">
        <w:r>
          <w:rPr>
            <w:color w:val="2E74B5"/>
            <w:u w:val="single"/>
          </w:rPr>
          <w:t>https://www.ncdc.mohfw.gov.in/uploads/pdf/amr10.pdf</w:t>
        </w:r>
      </w:hyperlink>
    </w:p>
    <w:p>
      <w:pPr>
        <w:jc w:val="left"/>
        <w:numPr>
          <w:ilvl w:val="0"/>
          <w:numId w:val="10"/>
        </w:numPr>
      </w:pPr>
      <w:r>
        <w:rPr>
          <w:rFonts w:ascii="Calibri" w:hAnsi="Calibri" w:eastAsia="Calibri"/>
          <w:b/>
          <w:color w:val="1F2933"/>
        </w:rPr>
        <w:t>R5.</w:t>
      </w:r>
      <w:r>
        <w:rPr>
          <w:rFonts w:ascii="Calibri" w:hAnsi="Calibri" w:eastAsia="Calibri"/>
          <w:b w:val="0"/>
          <w:color w:val="1F2933"/>
        </w:rPr>
        <w:t xml:space="preserve"> Indian Council of Medical Research, *AMR Surveillance Network Annual Report 2024*: </w:t>
      </w:r>
      <w:hyperlink r:id="rId17">
        <w:r>
          <w:rPr>
            <w:color w:val="2E74B5"/>
            <w:u w:val="single"/>
          </w:rPr>
          <w:t>https://www.icmr.gov.in/icmrobject/uploads/Report/1763981012_icmramrsnannualreport2024.pdf</w:t>
        </w:r>
      </w:hyperlink>
    </w:p>
    <w:p>
      <w:pPr>
        <w:jc w:val="left"/>
        <w:numPr>
          <w:ilvl w:val="0"/>
          <w:numId w:val="10"/>
        </w:numPr>
      </w:pPr>
      <w:r>
        <w:rPr>
          <w:rFonts w:ascii="Calibri" w:hAnsi="Calibri" w:eastAsia="Calibri"/>
          <w:b/>
          <w:color w:val="1F2933"/>
        </w:rPr>
        <w:t>R6.</w:t>
      </w:r>
      <w:r>
        <w:rPr>
          <w:rFonts w:ascii="Calibri" w:hAnsi="Calibri" w:eastAsia="Calibri"/>
          <w:b w:val="0"/>
          <w:color w:val="1F2933"/>
        </w:rPr>
        <w:t xml:space="preserve"> National Centre for Disease Control, AMR programme and national documents: </w:t>
      </w:r>
      <w:hyperlink r:id="rId18">
        <w:r>
          <w:rPr>
            <w:color w:val="2E74B5"/>
            <w:u w:val="single"/>
          </w:rPr>
          <w:t>https://ncdc.mohfw.gov.in/includes/About/CentresAndDivision/amr.php</w:t>
        </w:r>
      </w:hyperlink>
    </w:p>
    <w:p>
      <w:pPr>
        <w:jc w:val="left"/>
        <w:numPr>
          <w:ilvl w:val="0"/>
          <w:numId w:val="10"/>
        </w:numPr>
      </w:pPr>
      <w:r>
        <w:rPr>
          <w:rFonts w:ascii="Calibri" w:hAnsi="Calibri" w:eastAsia="Calibri"/>
          <w:b/>
          <w:color w:val="1F2933"/>
        </w:rPr>
        <w:t>R7.</w:t>
      </w:r>
      <w:r>
        <w:rPr>
          <w:rFonts w:ascii="Calibri" w:hAnsi="Calibri" w:eastAsia="Calibri"/>
          <w:b w:val="0"/>
          <w:color w:val="1F2933"/>
        </w:rPr>
        <w:t xml:space="preserve"> Ayushman Bharat Digital Mission, guiding principles and federated architecture: </w:t>
      </w:r>
      <w:hyperlink r:id="rId19">
        <w:r>
          <w:rPr>
            <w:color w:val="2E74B5"/>
            <w:u w:val="single"/>
          </w:rPr>
          <w:t>https://abdm.gov.in/abdm</w:t>
        </w:r>
      </w:hyperlink>
    </w:p>
    <w:p>
      <w:pPr>
        <w:jc w:val="left"/>
        <w:numPr>
          <w:ilvl w:val="0"/>
          <w:numId w:val="10"/>
        </w:numPr>
      </w:pPr>
      <w:r>
        <w:rPr>
          <w:rFonts w:ascii="Calibri" w:hAnsi="Calibri" w:eastAsia="Calibri"/>
          <w:b/>
          <w:color w:val="1F2933"/>
        </w:rPr>
        <w:t>R8.</w:t>
      </w:r>
      <w:r>
        <w:rPr>
          <w:rFonts w:ascii="Calibri" w:hAnsi="Calibri" w:eastAsia="Calibri"/>
          <w:b w:val="0"/>
          <w:color w:val="1F2933"/>
        </w:rPr>
        <w:t xml:space="preserve"> ABDM Health Data Management Policy: </w:t>
      </w:r>
      <w:hyperlink r:id="rId20">
        <w:r>
          <w:rPr>
            <w:color w:val="2E74B5"/>
            <w:u w:val="single"/>
          </w:rPr>
          <w:t>https://abdm.gov.in/static/media/health_management_policy_bac9429a79.80f74bc3e039c00acd4f.pdf</w:t>
        </w:r>
      </w:hyperlink>
    </w:p>
    <w:p>
      <w:pPr>
        <w:jc w:val="left"/>
        <w:numPr>
          <w:ilvl w:val="0"/>
          <w:numId w:val="10"/>
        </w:numPr>
      </w:pPr>
      <w:r>
        <w:rPr>
          <w:rFonts w:ascii="Calibri" w:hAnsi="Calibri" w:eastAsia="Calibri"/>
          <w:b/>
          <w:color w:val="1F2933"/>
        </w:rPr>
        <w:t>R9.</w:t>
      </w:r>
      <w:r>
        <w:rPr>
          <w:rFonts w:ascii="Calibri" w:hAnsi="Calibri" w:eastAsia="Calibri"/>
          <w:b w:val="0"/>
          <w:color w:val="1F2933"/>
        </w:rPr>
        <w:t xml:space="preserve"> Ministry of Electronics and Information Technology, Digital Personal Data Protection Rules 2025: </w:t>
      </w:r>
      <w:hyperlink r:id="rId21">
        <w:r>
          <w:rPr>
            <w:color w:val="2E74B5"/>
            <w:u w:val="single"/>
          </w:rPr>
          <w:t>https://www.meity.gov.in/documents/act-and-policies/digital-personal-data-protection-rules-2025-gDOxUjMtQWa</w:t>
        </w:r>
      </w:hyperlink>
    </w:p>
    <w:p>
      <w:pPr>
        <w:jc w:val="left"/>
        <w:numPr>
          <w:ilvl w:val="0"/>
          <w:numId w:val="10"/>
        </w:numPr>
      </w:pPr>
      <w:r>
        <w:rPr>
          <w:rFonts w:ascii="Calibri" w:hAnsi="Calibri" w:eastAsia="Calibri"/>
          <w:b/>
          <w:color w:val="1F2933"/>
        </w:rPr>
        <w:t>R10.</w:t>
      </w:r>
      <w:r>
        <w:rPr>
          <w:rFonts w:ascii="Calibri" w:hAnsi="Calibri" w:eastAsia="Calibri"/>
          <w:b w:val="0"/>
          <w:color w:val="1F2933"/>
        </w:rPr>
        <w:t xml:space="preserve"> World Health Organization, GLASS: </w:t>
      </w:r>
      <w:hyperlink r:id="rId22">
        <w:r>
          <w:rPr>
            <w:color w:val="2E74B5"/>
            <w:u w:val="single"/>
          </w:rPr>
          <w:t>https://www.who.int/activities/facilitating-global-surveillance-of-antimicrobial-resistance</w:t>
        </w:r>
      </w:hyperlink>
    </w:p>
    <w:p>
      <w:pPr>
        <w:jc w:val="left"/>
        <w:numPr>
          <w:ilvl w:val="0"/>
          <w:numId w:val="10"/>
        </w:numPr>
      </w:pPr>
      <w:r>
        <w:rPr>
          <w:rFonts w:ascii="Calibri" w:hAnsi="Calibri" w:eastAsia="Calibri"/>
          <w:b/>
          <w:color w:val="1F2933"/>
        </w:rPr>
        <w:t>R11.</w:t>
      </w:r>
      <w:r>
        <w:rPr>
          <w:rFonts w:ascii="Calibri" w:hAnsi="Calibri" w:eastAsia="Calibri"/>
          <w:b w:val="0"/>
          <w:color w:val="1F2933"/>
        </w:rPr>
        <w:t xml:space="preserve"> World Health Organization, AWaRe system: </w:t>
      </w:r>
      <w:hyperlink r:id="rId23">
        <w:r>
          <w:rPr>
            <w:color w:val="2E74B5"/>
            <w:u w:val="single"/>
          </w:rPr>
          <w:t>https://www.who.int/teams/surveillance-prevention-control-AMR/control-and-response-strategies/AWaRe</w:t>
        </w:r>
      </w:hyperlink>
    </w:p>
    <w:p>
      <w:pPr>
        <w:jc w:val="left"/>
        <w:numPr>
          <w:ilvl w:val="0"/>
          <w:numId w:val="10"/>
        </w:numPr>
      </w:pPr>
      <w:r>
        <w:rPr>
          <w:rFonts w:ascii="Calibri" w:hAnsi="Calibri" w:eastAsia="Calibri"/>
          <w:b/>
          <w:color w:val="1F2933"/>
        </w:rPr>
        <w:t>R12.</w:t>
      </w:r>
      <w:r>
        <w:rPr>
          <w:rFonts w:ascii="Calibri" w:hAnsi="Calibri" w:eastAsia="Calibri"/>
          <w:b w:val="0"/>
          <w:color w:val="1F2933"/>
        </w:rPr>
        <w:t xml:space="preserve"> World Organisation for Animal Health, ANIMUSE: </w:t>
      </w:r>
      <w:hyperlink r:id="rId24">
        <w:r>
          <w:rPr>
            <w:color w:val="2E74B5"/>
            <w:u w:val="single"/>
          </w:rPr>
          <w:t>https://amu.woah.org/amu-system-portal/home</w:t>
        </w:r>
      </w:hyperlink>
    </w:p>
    <w:p>
      <w:pPr>
        <w:jc w:val="left"/>
        <w:numPr>
          <w:ilvl w:val="0"/>
          <w:numId w:val="10"/>
        </w:numPr>
      </w:pPr>
      <w:r>
        <w:rPr>
          <w:rFonts w:ascii="Calibri" w:hAnsi="Calibri" w:eastAsia="Calibri"/>
          <w:b/>
          <w:color w:val="1F2933"/>
        </w:rPr>
        <w:t>R13.</w:t>
      </w:r>
      <w:r>
        <w:rPr>
          <w:rFonts w:ascii="Calibri" w:hAnsi="Calibri" w:eastAsia="Calibri"/>
          <w:b w:val="0"/>
          <w:color w:val="1F2933"/>
        </w:rPr>
        <w:t xml:space="preserve"> Food and Agriculture Organization, InFARM: </w:t>
      </w:r>
      <w:hyperlink r:id="rId25">
        <w:r>
          <w:rPr>
            <w:color w:val="2E74B5"/>
            <w:u w:val="single"/>
          </w:rPr>
          <w:t>https://www.fao.org/antimicrobial-resistance/resources/infarm-system/en/</w:t>
        </w:r>
      </w:hyperlink>
    </w:p>
    <w:p>
      <w:pPr>
        <w:jc w:val="left"/>
        <w:numPr>
          <w:ilvl w:val="0"/>
          <w:numId w:val="10"/>
        </w:numPr>
      </w:pPr>
      <w:r>
        <w:rPr>
          <w:rFonts w:ascii="Calibri" w:hAnsi="Calibri" w:eastAsia="Calibri"/>
          <w:b/>
          <w:color w:val="1F2933"/>
        </w:rPr>
        <w:t>R14.</w:t>
      </w:r>
      <w:r>
        <w:rPr>
          <w:rFonts w:ascii="Calibri" w:hAnsi="Calibri" w:eastAsia="Calibri"/>
          <w:b w:val="0"/>
          <w:color w:val="1F2933"/>
        </w:rPr>
        <w:t xml:space="preserve"> CERT-In, Guidelines on Information Security Practices for Government Entities: </w:t>
      </w:r>
      <w:hyperlink r:id="rId26">
        <w:r>
          <w:rPr>
            <w:color w:val="2E74B5"/>
            <w:u w:val="single"/>
          </w:rPr>
          <w:t>https://www.cert-in.org.in/guidelinesgovtentities.jsp</w:t>
        </w:r>
      </w:hyperlink>
    </w:p>
    <w:p>
      <w:pPr>
        <w:pStyle w:val="Heading1"/>
      </w:pPr>
      <w:r>
        <w:rPr>
          <w:rFonts w:ascii="Calibri" w:hAnsi="Calibri" w:eastAsia="Calibri"/>
          <w:b/>
          <w:color w:val="2E74B5"/>
          <w:sz w:val="32"/>
        </w:rPr>
        <w:t>Appendix E. Handover package for execution by Codex or another delivery team</w:t>
      </w:r>
    </w:p>
    <w:p>
      <w:r>
        <w:rPr>
          <w:rFonts w:ascii="Calibri" w:hAnsi="Calibri" w:eastAsia="Calibri"/>
          <w:b w:val="0"/>
          <w:color w:val="1F2933"/>
        </w:rPr>
        <w:t>Before implementation begins, convert this blueprint into the following controlled artefacts:</w:t>
      </w:r>
    </w:p>
    <w:p>
      <w:pPr>
        <w:jc w:val="left"/>
        <w:numPr>
          <w:ilvl w:val="0"/>
          <w:numId w:val="10"/>
        </w:numPr>
      </w:pPr>
      <w:r>
        <w:rPr>
          <w:rFonts w:ascii="Consolas" w:hAnsi="Consolas" w:eastAsia="Consolas"/>
          <w:color w:val="1F4D78"/>
          <w:sz w:val="20"/>
        </w:rPr>
        <w:t>programme_charter.md</w:t>
      </w:r>
      <w:r>
        <w:rPr>
          <w:rFonts w:ascii="Calibri" w:hAnsi="Calibri" w:eastAsia="Calibri"/>
          <w:b w:val="0"/>
          <w:color w:val="1F2933"/>
        </w:rPr>
        <w:t xml:space="preserve"> — scope, authority, outcomes, governance and funding.</w:t>
      </w:r>
    </w:p>
    <w:p>
      <w:pPr>
        <w:jc w:val="left"/>
        <w:numPr>
          <w:ilvl w:val="0"/>
          <w:numId w:val="10"/>
        </w:numPr>
      </w:pPr>
      <w:r>
        <w:rPr>
          <w:rFonts w:ascii="Consolas" w:hAnsi="Consolas" w:eastAsia="Consolas"/>
          <w:color w:val="1F4D78"/>
          <w:sz w:val="20"/>
        </w:rPr>
        <w:t>architecture/adr-*.md</w:t>
      </w:r>
      <w:r>
        <w:rPr>
          <w:rFonts w:ascii="Calibri" w:hAnsi="Calibri" w:eastAsia="Calibri"/>
          <w:b w:val="0"/>
          <w:color w:val="1F2933"/>
        </w:rPr>
        <w:t xml:space="preserve"> — one decision record per major architecture choice.</w:t>
      </w:r>
    </w:p>
    <w:p>
      <w:pPr>
        <w:jc w:val="left"/>
        <w:numPr>
          <w:ilvl w:val="0"/>
          <w:numId w:val="10"/>
        </w:numPr>
      </w:pPr>
      <w:r>
        <w:rPr>
          <w:rFonts w:ascii="Consolas" w:hAnsi="Consolas" w:eastAsia="Consolas"/>
          <w:color w:val="1F4D78"/>
          <w:sz w:val="20"/>
        </w:rPr>
        <w:t>standards/national-amr-ig/</w:t>
      </w:r>
      <w:r>
        <w:rPr>
          <w:rFonts w:ascii="Calibri" w:hAnsi="Calibri" w:eastAsia="Calibri"/>
          <w:b w:val="0"/>
          <w:color w:val="1F2933"/>
        </w:rPr>
        <w:t xml:space="preserve"> — schemas, profiles, terminology and examples.</w:t>
      </w:r>
    </w:p>
    <w:p>
      <w:pPr>
        <w:jc w:val="left"/>
        <w:numPr>
          <w:ilvl w:val="0"/>
          <w:numId w:val="10"/>
        </w:numPr>
      </w:pPr>
      <w:r>
        <w:rPr>
          <w:rFonts w:ascii="Consolas" w:hAnsi="Consolas" w:eastAsia="Consolas"/>
          <w:color w:val="1F4D78"/>
          <w:sz w:val="20"/>
        </w:rPr>
        <w:t>backlog/epics.csv</w:t>
      </w:r>
      <w:r>
        <w:rPr>
          <w:rFonts w:ascii="Calibri" w:hAnsi="Calibri" w:eastAsia="Calibri"/>
          <w:b w:val="0"/>
          <w:color w:val="1F2933"/>
        </w:rPr>
        <w:t xml:space="preserve"> and </w:t>
      </w:r>
      <w:r>
        <w:rPr>
          <w:rFonts w:ascii="Consolas" w:hAnsi="Consolas" w:eastAsia="Consolas"/>
          <w:color w:val="1F4D78"/>
          <w:sz w:val="20"/>
        </w:rPr>
        <w:t>backlog/stories/</w:t>
      </w:r>
      <w:r>
        <w:rPr>
          <w:rFonts w:ascii="Calibri" w:hAnsi="Calibri" w:eastAsia="Calibri"/>
          <w:b w:val="0"/>
          <w:color w:val="1F2933"/>
        </w:rPr>
        <w:t xml:space="preserve"> — traceable requirements and acceptance criteria.</w:t>
      </w:r>
    </w:p>
    <w:p>
      <w:pPr>
        <w:jc w:val="left"/>
        <w:numPr>
          <w:ilvl w:val="0"/>
          <w:numId w:val="10"/>
        </w:numPr>
      </w:pPr>
      <w:r>
        <w:rPr>
          <w:rFonts w:ascii="Consolas" w:hAnsi="Consolas" w:eastAsia="Consolas"/>
          <w:color w:val="1F4D78"/>
          <w:sz w:val="20"/>
        </w:rPr>
        <w:t>threat-model/</w:t>
      </w:r>
      <w:r>
        <w:rPr>
          <w:rFonts w:ascii="Calibri" w:hAnsi="Calibri" w:eastAsia="Calibri"/>
          <w:b w:val="0"/>
          <w:color w:val="1F2933"/>
        </w:rPr>
        <w:t xml:space="preserve"> and </w:t>
      </w:r>
      <w:r>
        <w:rPr>
          <w:rFonts w:ascii="Consolas" w:hAnsi="Consolas" w:eastAsia="Consolas"/>
          <w:color w:val="1F4D78"/>
          <w:sz w:val="20"/>
        </w:rPr>
        <w:t>privacy/</w:t>
      </w:r>
      <w:r>
        <w:rPr>
          <w:rFonts w:ascii="Calibri" w:hAnsi="Calibri" w:eastAsia="Calibri"/>
          <w:b w:val="0"/>
          <w:color w:val="1F2933"/>
        </w:rPr>
        <w:t xml:space="preserve"> — data flows, risks, DPIAs and controls.</w:t>
      </w:r>
    </w:p>
    <w:p>
      <w:pPr>
        <w:jc w:val="left"/>
        <w:numPr>
          <w:ilvl w:val="0"/>
          <w:numId w:val="10"/>
        </w:numPr>
      </w:pPr>
      <w:r>
        <w:rPr>
          <w:rFonts w:ascii="Consolas" w:hAnsi="Consolas" w:eastAsia="Consolas"/>
          <w:color w:val="1F4D78"/>
          <w:sz w:val="20"/>
        </w:rPr>
        <w:t>test/golden-datasets/</w:t>
      </w:r>
      <w:r>
        <w:rPr>
          <w:rFonts w:ascii="Calibri" w:hAnsi="Calibri" w:eastAsia="Calibri"/>
          <w:b w:val="0"/>
          <w:color w:val="1F2933"/>
        </w:rPr>
        <w:t xml:space="preserve"> — expected calculations and conformance fixtures.</w:t>
      </w:r>
    </w:p>
    <w:p>
      <w:pPr>
        <w:jc w:val="left"/>
        <w:numPr>
          <w:ilvl w:val="0"/>
          <w:numId w:val="10"/>
        </w:numPr>
      </w:pPr>
      <w:r>
        <w:rPr>
          <w:rFonts w:ascii="Consolas" w:hAnsi="Consolas" w:eastAsia="Consolas"/>
          <w:color w:val="1F4D78"/>
          <w:sz w:val="20"/>
        </w:rPr>
        <w:t>ops/</w:t>
      </w:r>
      <w:r>
        <w:rPr>
          <w:rFonts w:ascii="Calibri" w:hAnsi="Calibri" w:eastAsia="Calibri"/>
          <w:b w:val="0"/>
          <w:color w:val="1F2933"/>
        </w:rPr>
        <w:t xml:space="preserve"> — environments, SLOs, deployment, observability, backup, DR and incident runbooks.</w:t>
      </w:r>
    </w:p>
    <w:p>
      <w:pPr>
        <w:jc w:val="left"/>
        <w:numPr>
          <w:ilvl w:val="0"/>
          <w:numId w:val="10"/>
        </w:numPr>
      </w:pPr>
      <w:r>
        <w:rPr>
          <w:rFonts w:ascii="Consolas" w:hAnsi="Consolas" w:eastAsia="Consolas"/>
          <w:color w:val="1F4D78"/>
          <w:sz w:val="20"/>
        </w:rPr>
        <w:t>pilot/</w:t>
      </w:r>
      <w:r>
        <w:rPr>
          <w:rFonts w:ascii="Calibri" w:hAnsi="Calibri" w:eastAsia="Calibri"/>
          <w:b w:val="0"/>
          <w:color w:val="1F2933"/>
        </w:rPr>
        <w:t xml:space="preserve"> — site readiness, onboarding, training, support and evaluation protocols.</w:t>
      </w:r>
    </w:p>
    <w:p>
      <w:pPr>
        <w:jc w:val="left"/>
        <w:numPr>
          <w:ilvl w:val="0"/>
          <w:numId w:val="10"/>
        </w:numPr>
      </w:pPr>
      <w:r>
        <w:rPr>
          <w:rFonts w:ascii="Consolas" w:hAnsi="Consolas" w:eastAsia="Consolas"/>
          <w:color w:val="1F4D78"/>
          <w:sz w:val="20"/>
        </w:rPr>
        <w:t>governance/decision-log.md</w:t>
      </w:r>
      <w:r>
        <w:rPr>
          <w:rFonts w:ascii="Calibri" w:hAnsi="Calibri" w:eastAsia="Calibri"/>
          <w:b w:val="0"/>
          <w:color w:val="1F2933"/>
        </w:rPr>
        <w:t xml:space="preserve"> — unresolved choices, owners and due dates.</w:t>
      </w:r>
    </w:p>
    <w:p>
      <w:r>
        <w:rPr>
          <w:rFonts w:ascii="Calibri" w:hAnsi="Calibri" w:eastAsia="Calibri"/>
          <w:b w:val="0"/>
          <w:color w:val="1F2933"/>
        </w:rPr>
        <w:t>The first engineering sprint should not add new dashboard tiles. It should establish source control, automated tests, golden calculation fixtures, secure configuration, migrations, release signing and a reproducible local-to-central reference flow.</w:t>
      </w:r>
    </w:p>
    <w:sectPr w:rsidR="00FC693F" w:rsidRPr="0006063C" w:rsidSect="00034616">
      <w:headerReference w:type="first" r:id="rId9"/>
      <w:footerReference w:type="first" r:id="rId10"/>
      <w:headerReference w:type="default" r:id="rId11"/>
      <w:footerReference w:type="default" r:id="rId12"/>
      <w:pgSz w:w="12240" w:h="15840"/>
      <w:pgMar w:top="1440" w:right="1440" w:bottom="1440" w:left="1440" w:header="708" w:footer="70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eastAsia="Calibri"/>
        <w:color w:val="5B6573"/>
        <w:sz w:val="17"/>
      </w:rPr>
      <w:t>National AMR Ecosystem Implementation Blueprint</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eastAsia="Calibri"/>
        <w:color w:val="5B6573"/>
        <w:sz w:val="17"/>
      </w:rPr>
      <w:t>Government consultation draft • Version 1.0</w:t>
    </w:r>
    <w:tab/>
    <w:r>
      <w:rPr>
        <w:rFonts w:ascii="Calibri" w:hAnsi="Calibri" w:eastAsia="Calibri"/>
        <w:color w:val="5B6573"/>
        <w:sz w:val="18"/>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eastAsia="Calibri"/>
        <w:b/>
        <w:color w:val="5B6573"/>
        <w:sz w:val="17"/>
      </w:rPr>
      <w:t>OFFICE OF THE PRINCIPAL SCIENTIFIC ADVISER • NATIONAL AMR ECOSYSTEM</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6" w:space="3" w:color="D9E1E8"/>
        <w:bottom w:val="single" w:sz="6" w:space="3" w:color="D9E1E8"/>
      </w:pBdr>
    </w:pPr>
    <w:r>
      <w:rPr>
        <w:rFonts w:ascii="Calibri" w:hAnsi="Calibri" w:eastAsia="Calibri"/>
        <w:b/>
        <w:color w:val="5B6573"/>
        <w:sz w:val="16"/>
      </w:rPr>
      <w:t>NATIONAL AMR ECOSYSTEM • IMPLEMENTATION BLUEPRINT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suff w:val="tab"/>
      <w:pPr>
        <w:tabs>
          <w:tab w:val="num" w:pos="540"/>
        </w:tabs>
        <w:ind w:left="540" w:hanging="280"/>
        <w:spacing w:after="80" w:line="290" w:lineRule="auto"/>
      </w:pPr>
      <w:rPr>
        <w:rFonts w:ascii="Arial" w:hAnsi="Arial"/>
      </w:rPr>
    </w:lvl>
  </w:abstractNum>
  <w:abstractNum w:abstractNumId="10">
    <w:multiLevelType w:val="singleLevel"/>
    <w:lvl w:ilvl="0">
      <w:start w:val="1"/>
      <w:numFmt w:val="decimal"/>
      <w:lvlText w:val="%1."/>
      <w:suff w:val="tab"/>
      <w:pPr>
        <w:tabs>
          <w:tab w:val="num" w:pos="540"/>
        </w:tabs>
        <w:ind w:left="540" w:hanging="280"/>
        <w:spacing w:after="80" w:line="290" w:lineRule="auto"/>
      </w:pPr>
    </w:lvl>
  </w:abstractNum>
  <w:num w:numId="10">
    <w:abstractNumId w:val="9"/>
    <w:lvlOverride w:ilvl="0">
      <w:startOverride w:val="1"/>
    </w:lvlOverride>
  </w:num>
  <w:num w:numId="11">
    <w:abstractNumId w:val="10"/>
    <w:lvlOverride w:ilvl="0">
      <w:startOverride w:val="1"/>
    </w:lvlOverride>
  </w:num>
  <w:num w:numId="12">
    <w:abstractNumId w:val="10"/>
    <w:lvlOverride w:ilvl="0">
      <w:startOverride w:val="1"/>
    </w:lvlOverride>
  </w:num>
  <w:num w:numId="13">
    <w:abstractNumId w:val="10"/>
    <w:lvlOverride w:ilvl="0">
      <w:startOverride w:val="1"/>
    </w:lvlOverride>
  </w:num>
  <w:num w:numId="14">
    <w:abstractNumId w:val="10"/>
    <w:lvlOverride w:ilvl="0">
      <w:startOverride w:val="1"/>
    </w:lvlOverride>
  </w:num>
  <w:num w:numId="15">
    <w:abstractNumId w:val="10"/>
    <w:lvlOverride w:ilvl="0">
      <w:startOverride w:val="1"/>
    </w:lvlOverride>
  </w:num>
  <w:num w:numId="16">
    <w:abstractNumId w:val="1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60" w:line="320" w:lineRule="auto"/>
      <w:jc w:val="both"/>
    </w:pPr>
    <w:rPr>
      <w:rFonts w:ascii="Calibri" w:hAnsi="Calibri"/>
      <w:color w:val="1F29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ableText">
    <w:name w:val="Table Text"/>
    <w:pPr>
      <w:spacing w:before="0" w:after="40" w:line="259" w:lineRule="auto"/>
    </w:pPr>
    <w:rPr>
      <w:rFonts w:ascii="Calibri" w:hAnsi="Calibri"/>
      <w:color w:val="1F2933"/>
      <w:sz w:val="18"/>
    </w:rPr>
  </w:style>
  <w:style w:type="paragraph" w:customStyle="1" w:styleId="Callout">
    <w:name w:val="Callout"/>
    <w:pPr>
      <w:spacing w:before="160" w:after="200" w:line="288" w:lineRule="auto"/>
      <w:ind w:left="259" w:right="173"/>
    </w:pPr>
    <w:rPr>
      <w:rFonts w:ascii="Calibri" w:hAnsi="Calibri"/>
      <w:color w:val="17365D"/>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image" Target="media/image1.png"/><Relationship Id="rId14" Type="http://schemas.openxmlformats.org/officeDocument/2006/relationships/hyperlink" Target="https://psa.gov.in/oneHealthMission" TargetMode="External"/><Relationship Id="rId15" Type="http://schemas.openxmlformats.org/officeDocument/2006/relationships/hyperlink" Target="https://psa.gov.in/CMS/web/sites/default/files/publication/OH%20Model%20Governance%20Framework_17Dec2025_1.pdf" TargetMode="External"/><Relationship Id="rId16" Type="http://schemas.openxmlformats.org/officeDocument/2006/relationships/hyperlink" Target="https://www.ncdc.mohfw.gov.in/uploads/pdf/amr10.pdf" TargetMode="External"/><Relationship Id="rId17" Type="http://schemas.openxmlformats.org/officeDocument/2006/relationships/hyperlink" Target="https://www.icmr.gov.in/icmrobject/uploads/Report/1763981012_icmramrsnannualreport2024.pdf" TargetMode="External"/><Relationship Id="rId18" Type="http://schemas.openxmlformats.org/officeDocument/2006/relationships/hyperlink" Target="https://ncdc.mohfw.gov.in/includes/About/CentresAndDivision/amr.php" TargetMode="External"/><Relationship Id="rId19" Type="http://schemas.openxmlformats.org/officeDocument/2006/relationships/hyperlink" Target="https://abdm.gov.in/abdm" TargetMode="External"/><Relationship Id="rId20" Type="http://schemas.openxmlformats.org/officeDocument/2006/relationships/hyperlink" Target="https://abdm.gov.in/static/media/health_management_policy_bac9429a79.80f74bc3e039c00acd4f.pdf" TargetMode="External"/><Relationship Id="rId21" Type="http://schemas.openxmlformats.org/officeDocument/2006/relationships/hyperlink" Target="https://www.meity.gov.in/documents/act-and-policies/digital-personal-data-protection-rules-2025-gDOxUjMtQWa" TargetMode="External"/><Relationship Id="rId22" Type="http://schemas.openxmlformats.org/officeDocument/2006/relationships/hyperlink" Target="https://www.who.int/activities/facilitating-global-surveillance-of-antimicrobial-resistance" TargetMode="External"/><Relationship Id="rId23" Type="http://schemas.openxmlformats.org/officeDocument/2006/relationships/hyperlink" Target="https://www.who.int/teams/surveillance-prevention-control-AMR/control-and-response-strategies/AWaRe" TargetMode="External"/><Relationship Id="rId24" Type="http://schemas.openxmlformats.org/officeDocument/2006/relationships/hyperlink" Target="https://amu.woah.org/amu-system-portal/home" TargetMode="External"/><Relationship Id="rId25" Type="http://schemas.openxmlformats.org/officeDocument/2006/relationships/hyperlink" Target="https://www.fao.org/antimicrobial-resistance/resources/infarm-system/en/" TargetMode="External"/><Relationship Id="rId26" Type="http://schemas.openxmlformats.org/officeDocument/2006/relationships/hyperlink" Target="https://www.cert-in.org.in/guidelinesgovtentities.js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National AMR Ecosystem for India — Implementation Blueprint</dc:title>
  <dc:subject>Federated One Health AMR surveillance, stewardship and response programme</dc:subject>
  <dc:creator>Prepared with Codex for consultation</dc:creator>
  <cp:keywords/>
  <dc:description>generated by python-docx</dc:description>
  <cp:lastModifiedBy/>
  <cp:revision>1</cp:revision>
  <dcterms:created xsi:type="dcterms:W3CDTF">2013-12-23T23:15:00Z</dcterms:created>
  <dcterms:modified xsi:type="dcterms:W3CDTF">2013-12-23T23:15:00Z</dcterms:modified>
  <cp:category/>
</cp:coreProperties>
</file>