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53.png" ContentType="image/png"/>
  <Override PartName="/word/media/rId75.png" ContentType="image/png"/>
  <Override PartName="/word/media/rId35.png" ContentType="image/png"/>
  <Override PartName="/word/media/rId32.png" ContentType="image/png"/>
  <Override PartName="/word/media/rId13.png" ContentType="image/png"/>
  <Override PartName="/word/media/rId18.png" ContentType="image/png"/>
  <Override PartName="/word/media/rId64.png" ContentType="image/png"/>
  <Override PartName="/word/media/rId45.png" ContentType="image/png"/>
  <Override PartName="/word/media/rId25.png" ContentType="image/png"/>
  <Override PartName="/word/media/rId22.png" ContentType="image/png"/>
  <Override PartName="/word/media/rId29.png" ContentType="image/png"/>
  <Override PartName="/word/media/rId60.png" ContentType="image/png"/>
  <Override PartName="/word/media/rId42.png" ContentType="image/png"/>
  <Override PartName="/word/media/rId39.png" ContentType="image/png"/>
  <Override PartName="/word/media/rId68.png" ContentType="image/png"/>
  <Override PartName="/word/media/rId10.png" ContentType="image/png"/>
  <Override PartName="/word/media/rId163.png" ContentType="image/png"/>
  <Override PartName="/word/media/rId71.png" ContentType="image/png"/>
  <Override PartName="/word/media/rId169.png" ContentType="image/png"/>
  <Override PartName="/word/media/rId125.png" ContentType="image/png"/>
  <Override PartName="/word/media/rId49.png" ContentType="image/png"/>
  <Override PartName="/word/media/rId98.png" ContentType="image/png"/>
  <Override PartName="/word/media/rId133.png" ContentType="image/png"/>
  <Override PartName="/word/media/rId136.png" ContentType="image/png"/>
  <Override PartName="/word/media/rId151.png" ContentType="image/png"/>
  <Override PartName="/word/media/rId157.png" ContentType="image/png"/>
  <Override PartName="/word/media/rId154.png" ContentType="image/png"/>
  <Override PartName="/word/media/rId144.png" ContentType="image/png"/>
  <Override PartName="/word/media/rId147.png" ContentType="image/png"/>
  <Override PartName="/word/media/rId87.png" ContentType="image/png"/>
  <Override PartName="/word/media/rId129.png" ContentType="image/png"/>
  <Override PartName="/word/media/rId140.png" ContentType="image/png"/>
  <Override PartName="/word/media/rId94.png" ContentType="image/png"/>
  <Override PartName="/word/media/rId91.png" ContentType="image/png"/>
  <Override PartName="/word/media/rId116.png" ContentType="image/png"/>
  <Override PartName="/word/media/rId107.png" ContentType="image/png"/>
  <Override PartName="/word/media/rId119.png" ContentType="image/png"/>
  <Override PartName="/word/media/rId104.png" ContentType="image/png"/>
  <Override PartName="/word/media/rId101.png" ContentType="image/png"/>
  <Override PartName="/word/media/rId122.png" ContentType="image/png"/>
  <Override PartName="/word/media/rId113.png" ContentType="image/png"/>
  <Override PartName="/word/media/rId110.png" ContentType="image/png"/>
  <Override PartName="/word/media/rId84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3" w:name="amrit--operator-and-methods-manual"/>
    <w:p>
      <w:pPr>
        <w:pStyle w:val="Heading1"/>
      </w:pPr>
      <w:r>
        <w:t xml:space="preserve">AMRIT — operator and methods manual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ntimicrobial</w:t>
      </w:r>
      <w:r>
        <w:t xml:space="preserve"> </w:t>
      </w:r>
      <w:r>
        <w:rPr>
          <w:b/>
          <w:bCs/>
        </w:rPr>
        <w:t xml:space="preserve">R</w:t>
      </w:r>
      <w:r>
        <w:t xml:space="preserve">esistance</w:t>
      </w:r>
      <w:r>
        <w:t xml:space="preserve"> </w:t>
      </w:r>
      <w:r>
        <w:rPr>
          <w:b/>
          <w:bCs/>
        </w:rPr>
        <w:t xml:space="preserve">M</w:t>
      </w:r>
      <w:r>
        <w:t xml:space="preserve">onitoring,</w:t>
      </w:r>
      <w:r>
        <w:t xml:space="preserve"> </w:t>
      </w:r>
      <w:r>
        <w:rPr>
          <w:b/>
          <w:bCs/>
        </w:rPr>
        <w:t xml:space="preserve">I</w:t>
      </w:r>
      <w:r>
        <w:t xml:space="preserve">ntelligence and</w:t>
      </w:r>
      <w:r>
        <w:t xml:space="preserve"> </w:t>
      </w:r>
      <w:r>
        <w:rPr>
          <w:b/>
          <w:bCs/>
        </w:rPr>
        <w:t xml:space="preserve">T</w:t>
      </w:r>
      <w:r>
        <w:t xml:space="preserve">racking</w:t>
      </w:r>
    </w:p>
    <w:p>
      <w:pPr>
        <w:pStyle w:val="BodyText"/>
      </w:pPr>
      <w:r>
        <w:t xml:space="preserve">This manual covers both halves of the system and the reasoning behind them: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 — the desktop application</w:t>
      </w:r>
      <w:r>
        <w:t xml:space="preserve">, which a laboratory runs on its own computer, offline.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 — the central web portal</w:t>
      </w:r>
      <w:r>
        <w:t xml:space="preserve">, which a programme runs for a country or a network.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III — methods and rationale</w:t>
      </w:r>
      <w:r>
        <w:t xml:space="preserve">, which states what each analytical choice is, what the</w:t>
      </w:r>
      <w:r>
        <w:t xml:space="preserve"> </w:t>
      </w:r>
      <w:r>
        <w:t xml:space="preserve">alternatives were, and why this one was taken. Part III is written to be quotable in a</w:t>
      </w:r>
      <w:r>
        <w:t xml:space="preserve"> </w:t>
      </w:r>
      <w:r>
        <w:t xml:space="preserve">paper: every method names the module that implements it.</w:t>
      </w:r>
    </w:p>
    <w:p>
      <w:pPr>
        <w:pStyle w:val="FirstParagraph"/>
      </w:pPr>
      <w:r>
        <w:t xml:space="preserve">Every screenshot is captured from a running build — the desktop screens by the application's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AMRIT_CAPTURE_DIR</w:t>
      </w:r>
      <w:r>
        <w:t xml:space="preserve"> </w:t>
      </w:r>
      <w:r>
        <w:t xml:space="preserve">mode against a freshly seeded demonstration database, the portal</w:t>
      </w:r>
      <w:r>
        <w:t xml:space="preserve"> </w:t>
      </w:r>
      <w:r>
        <w:t xml:space="preserve">screens by</w:t>
      </w:r>
      <w:r>
        <w:t xml:space="preserve"> </w:t>
      </w:r>
      <w:r>
        <w:rPr>
          <w:rStyle w:val="VerbatimChar"/>
        </w:rPr>
        <w:t xml:space="preserve">tools/capture_portal.mjs</w:t>
      </w:r>
      <w:r>
        <w:t xml:space="preserve"> </w:t>
      </w:r>
      <w:r>
        <w:t xml:space="preserve">signed in as each role — and every figure is generated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tools/build_manual_figures.py</w:t>
      </w:r>
      <w:r>
        <w:t xml:space="preserve">. Neither is drawn by hand, because a picture</w:t>
      </w:r>
      <w:r>
        <w:t xml:space="preserve"> </w:t>
      </w:r>
      <w:r>
        <w:t xml:space="preserve">that is edited separately from the system drifts away from it and nobody notices until a</w:t>
      </w:r>
      <w:r>
        <w:t xml:space="preserve"> </w:t>
      </w:r>
      <w:r>
        <w:t xml:space="preserve">reader follows it and is wrong.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Part I — Desktop application</w:t>
      </w:r>
    </w:p>
    <w:p>
      <w:pPr>
        <w:pStyle w:val="Compact"/>
        <w:numPr>
          <w:ilvl w:val="0"/>
          <w:numId w:val="1002"/>
        </w:numPr>
      </w:pPr>
      <w:r>
        <w:t xml:space="preserve">What it is for, and what it refuses to do</w:t>
      </w:r>
    </w:p>
    <w:p>
      <w:pPr>
        <w:pStyle w:val="Compact"/>
        <w:numPr>
          <w:ilvl w:val="0"/>
          <w:numId w:val="1002"/>
        </w:numPr>
      </w:pPr>
      <w:r>
        <w:t xml:space="preserve">Install and first run</w:t>
      </w:r>
    </w:p>
    <w:p>
      <w:pPr>
        <w:pStyle w:val="Compact"/>
        <w:numPr>
          <w:ilvl w:val="0"/>
          <w:numId w:val="1002"/>
        </w:numPr>
      </w:pPr>
      <w:r>
        <w:t xml:space="preserve">Configure the deployment (country, branding, levels)</w:t>
      </w:r>
    </w:p>
    <w:p>
      <w:pPr>
        <w:pStyle w:val="Compact"/>
        <w:numPr>
          <w:ilvl w:val="0"/>
          <w:numId w:val="1002"/>
        </w:numPr>
      </w:pPr>
      <w:r>
        <w:t xml:space="preserve">Register the laboratory and place it on the map</w:t>
      </w:r>
    </w:p>
    <w:p>
      <w:pPr>
        <w:pStyle w:val="Compact"/>
        <w:numPr>
          <w:ilvl w:val="0"/>
          <w:numId w:val="1002"/>
        </w:numPr>
      </w:pPr>
      <w:r>
        <w:t xml:space="preserve">Catalogues and breakpoints</w:t>
      </w:r>
    </w:p>
    <w:p>
      <w:pPr>
        <w:pStyle w:val="Compact"/>
        <w:numPr>
          <w:ilvl w:val="0"/>
          <w:numId w:val="1002"/>
        </w:numPr>
      </w:pPr>
      <w:r>
        <w:t xml:space="preserve">Enter data</w:t>
      </w:r>
    </w:p>
    <w:p>
      <w:pPr>
        <w:pStyle w:val="Compact"/>
        <w:numPr>
          <w:ilvl w:val="0"/>
          <w:numId w:val="1002"/>
        </w:numPr>
      </w:pPr>
      <w:r>
        <w:t xml:space="preserve">Quality control and decision support</w:t>
      </w:r>
    </w:p>
    <w:p>
      <w:pPr>
        <w:pStyle w:val="Compact"/>
        <w:numPr>
          <w:ilvl w:val="0"/>
          <w:numId w:val="1002"/>
        </w:numPr>
      </w:pPr>
      <w:r>
        <w:t xml:space="preserve">Analyse</w:t>
      </w:r>
    </w:p>
    <w:p>
      <w:pPr>
        <w:pStyle w:val="Compact"/>
        <w:numPr>
          <w:ilvl w:val="0"/>
          <w:numId w:val="1002"/>
        </w:numPr>
      </w:pPr>
      <w:r>
        <w:t xml:space="preserve">One Health capture</w:t>
      </w:r>
    </w:p>
    <w:p>
      <w:pPr>
        <w:pStyle w:val="Compact"/>
        <w:numPr>
          <w:ilvl w:val="0"/>
          <w:numId w:val="1002"/>
        </w:numPr>
      </w:pPr>
      <w:r>
        <w:t xml:space="preserve">Export</w:t>
      </w:r>
    </w:p>
    <w:p>
      <w:pPr>
        <w:pStyle w:val="Compact"/>
        <w:numPr>
          <w:ilvl w:val="0"/>
          <w:numId w:val="1002"/>
        </w:numPr>
      </w:pPr>
      <w:r>
        <w:t xml:space="preserve">Join a central server (federation)</w:t>
      </w:r>
    </w:p>
    <w:p>
      <w:pPr>
        <w:pStyle w:val="Compact"/>
        <w:numPr>
          <w:ilvl w:val="0"/>
          <w:numId w:val="1002"/>
        </w:numPr>
      </w:pPr>
      <w:r>
        <w:t xml:space="preserve">Privacy, retention, audit</w:t>
      </w:r>
    </w:p>
    <w:p>
      <w:pPr>
        <w:pStyle w:val="FirstParagraph"/>
      </w:pPr>
      <w:r>
        <w:rPr>
          <w:b/>
          <w:bCs/>
        </w:rPr>
        <w:t xml:space="preserve">Part II — Central web portal</w:t>
      </w:r>
      <w:r>
        <w:t xml:space="preserve"> </w:t>
      </w:r>
      <w:r>
        <w:t xml:space="preserve">13. Deploy the server</w:t>
      </w:r>
      <w:r>
        <w:t xml:space="preserve"> </w:t>
      </w:r>
      <w:r>
        <w:t xml:space="preserve">14. The site registry and enrolment</w:t>
      </w:r>
      <w:r>
        <w:t xml:space="preserve"> </w:t>
      </w:r>
      <w:r>
        <w:t xml:space="preserve">15. Asking questions</w:t>
      </w:r>
      <w:r>
        <w:t xml:space="preserve"> </w:t>
      </w:r>
      <w:r>
        <w:t xml:space="preserve">16. Dashboards, by stakeholder</w:t>
      </w:r>
      <w:r>
        <w:t xml:space="preserve"> </w:t>
      </w:r>
      <w:r>
        <w:t xml:space="preserve">17. The outbreak console</w:t>
      </w:r>
      <w:r>
        <w:t xml:space="preserve"> </w:t>
      </w:r>
      <w:r>
        <w:t xml:space="preserve">18. From a signal to an action plan</w:t>
      </w:r>
      <w:r>
        <w:t xml:space="preserve"> </w:t>
      </w:r>
      <w:r>
        <w:t xml:space="preserve">19. The public view</w:t>
      </w:r>
      <w:r>
        <w:t xml:space="preserve"> </w:t>
      </w:r>
      <w:r>
        <w:t xml:space="preserve">20. Audit and governance</w:t>
      </w:r>
      <w:r>
        <w:t xml:space="preserve"> </w:t>
      </w:r>
      <w:r>
        <w:t xml:space="preserve">21. Portal administration: users, roles, capabilities</w:t>
      </w:r>
    </w:p>
    <w:p>
      <w:pPr>
        <w:pStyle w:val="BodyText"/>
      </w:pPr>
      <w:r>
        <w:rPr>
          <w:b/>
          <w:bCs/>
        </w:rPr>
        <w:t xml:space="preserve">Part III — Methods and rationale</w:t>
      </w:r>
      <w:r>
        <w:t xml:space="preserve"> </w:t>
      </w:r>
      <w:r>
        <w:t xml:space="preserve">22. Data model and standards</w:t>
      </w:r>
      <w:r>
        <w:t xml:space="preserve"> </w:t>
      </w:r>
      <w:r>
        <w:t xml:space="preserve">23. Breakpoint interpretation</w:t>
      </w:r>
      <w:r>
        <w:t xml:space="preserve"> </w:t>
      </w:r>
      <w:r>
        <w:t xml:space="preserve">24. Deduplication</w:t>
      </w:r>
      <w:r>
        <w:t xml:space="preserve"> </w:t>
      </w:r>
      <w:r>
        <w:t xml:space="preserve">25. Indicators</w:t>
      </w:r>
      <w:r>
        <w:t xml:space="preserve"> </w:t>
      </w:r>
      <w:r>
        <w:t xml:space="preserve">26. Outbreak detection</w:t>
      </w:r>
      <w:r>
        <w:t xml:space="preserve"> </w:t>
      </w:r>
      <w:r>
        <w:t xml:space="preserve">27. Privacy engineering</w:t>
      </w:r>
      <w:r>
        <w:t xml:space="preserve"> </w:t>
      </w:r>
      <w:r>
        <w:t xml:space="preserve">28. Federation protocol design</w:t>
      </w:r>
      <w:r>
        <w:t xml:space="preserve"> </w:t>
      </w:r>
      <w:r>
        <w:t xml:space="preserve">29. Dashboard computation</w:t>
      </w:r>
      <w:r>
        <w:t xml:space="preserve"> </w:t>
      </w:r>
      <w:r>
        <w:t xml:space="preserve">30. Limitations and threats to validity</w:t>
      </w:r>
    </w:p>
    <w:p>
      <w:pPr>
        <w:pStyle w:val="BodyText"/>
      </w:pPr>
      <w:r>
        <w:rPr>
          <w:b/>
          <w:bCs/>
        </w:rPr>
        <w:t xml:space="preserve">Appendices</w:t>
      </w:r>
      <w:r>
        <w:t xml:space="preserve"> </w:t>
      </w:r>
      <w:r>
        <w:t xml:space="preserve">— A commands · B environment · C role capabilities · D metric catalogue · E demo credentials</w:t>
      </w:r>
    </w:p>
    <w:p>
      <w:r>
        <w:pict>
          <v:rect style="width:0;height:1.5pt" o:hralign="center" o:hrstd="t" o:hr="t"/>
        </w:pict>
      </w:r>
    </w:p>
    <w:bookmarkEnd w:id="9"/>
    <w:bookmarkStart w:id="79" w:name="part-i--desktop-application"/>
    <w:p>
      <w:pPr>
        <w:pStyle w:val="Heading2"/>
      </w:pPr>
      <w:r>
        <w:t xml:space="preserve">Part I — Desktop application</w:t>
      </w:r>
    </w:p>
    <w:bookmarkStart w:id="16" w:name="X9d8a7c28768950dec4bc9880c1741330330194f"/>
    <w:p>
      <w:pPr>
        <w:pStyle w:val="Heading3"/>
      </w:pPr>
      <w:r>
        <w:t xml:space="preserve">1. What it is for, and what it refuses to do</w:t>
      </w:r>
    </w:p>
    <w:p>
      <w:pPr>
        <w:pStyle w:val="FirstParagraph"/>
      </w:pPr>
      <w:r>
        <w:t xml:space="preserve">A microbiology laboratory produces isolate records: a patient, a specimen, an organism, and a</w:t>
      </w:r>
      <w:r>
        <w:t xml:space="preserve"> </w:t>
      </w:r>
      <w:r>
        <w:t xml:space="preserve">panel of antimicrobial susceptibility results. AMRIT's desktop application is where those</w:t>
      </w:r>
      <w:r>
        <w:t xml:space="preserve"> </w:t>
      </w:r>
      <w:r>
        <w:t xml:space="preserve">records live. It is a local-first application — Electron over SQLite — and it is fully</w:t>
      </w:r>
      <w:r>
        <w:t xml:space="preserve"> </w:t>
      </w:r>
      <w:r>
        <w:t xml:space="preserve">functional with no network at all. A laboratory can install it, type records for a year,</w:t>
      </w:r>
      <w:r>
        <w:t xml:space="preserve"> </w:t>
      </w:r>
      <w:r>
        <w:t xml:space="preserve">analyse them, print an antibiogram and export a WHONET file without ever connecting to</w:t>
      </w:r>
      <w:r>
        <w:t xml:space="preserve"> </w:t>
      </w:r>
      <w:r>
        <w:t xml:space="preserve">anything.</w:t>
      </w:r>
    </w:p>
    <w:p>
      <w:pPr>
        <w:pStyle w:val="BodyText"/>
      </w:pPr>
      <w:r>
        <w:t xml:space="preserve">It refuses three things by construction:</w:t>
      </w:r>
    </w:p>
    <w:p>
      <w:pPr>
        <w:pStyle w:val="Compact"/>
        <w:numPr>
          <w:ilvl w:val="0"/>
          <w:numId w:val="1003"/>
        </w:numPr>
      </w:pPr>
      <w:r>
        <w:t xml:space="preserve">It never uploads a patient row. What leaves this application over the network is a count or</w:t>
      </w:r>
      <w:r>
        <w:t xml:space="preserve"> </w:t>
      </w:r>
      <w:r>
        <w:t xml:space="preserve">a rate (§27, §28).</w:t>
      </w:r>
    </w:p>
    <w:p>
      <w:pPr>
        <w:pStyle w:val="Compact"/>
        <w:numPr>
          <w:ilvl w:val="0"/>
          <w:numId w:val="1003"/>
        </w:numPr>
      </w:pPr>
      <w:r>
        <w:t xml:space="preserve">It never interprets a susceptibility result against a breakpoint set nobody activated</w:t>
      </w:r>
      <w:r>
        <w:t xml:space="preserve"> </w:t>
      </w:r>
      <w:r>
        <w:t xml:space="preserve">(§23).</w:t>
      </w:r>
    </w:p>
    <w:p>
      <w:pPr>
        <w:pStyle w:val="Compact"/>
        <w:numPr>
          <w:ilvl w:val="0"/>
          <w:numId w:val="1003"/>
        </w:numPr>
      </w:pPr>
      <w:r>
        <w:t xml:space="preserve">It never invents data. A value it cannot read, map or interpret is reported and left blank,</w:t>
      </w:r>
      <w:r>
        <w:t xml:space="preserve"> </w:t>
      </w:r>
      <w:r>
        <w:t xml:space="preserve">not guessed.</w:t>
      </w:r>
    </w:p>
    <w:p>
      <w:pPr>
        <w:pStyle w:val="FirstParagraph"/>
      </w:pPr>
      <w:r>
        <w:drawing>
          <wp:inline>
            <wp:extent cx="5334000" cy="3365167"/>
            <wp:effectExtent b="0" l="0" r="0" t="0"/>
            <wp:docPr descr="Figure 1" title="" id="11" name="Picture"/>
            <a:graphic>
              <a:graphicData uri="http://schemas.openxmlformats.org/drawingml/2006/picture">
                <pic:pic>
                  <pic:nvPicPr>
                    <pic:cNvPr descr="images/fig-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 — where patient data stops.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Desktop dashboard" title="" id="14" name="Picture"/>
            <a:graphic>
              <a:graphicData uri="http://schemas.openxmlformats.org/drawingml/2006/picture">
                <pic:pic>
                  <pic:nvPicPr>
                    <pic:cNvPr descr="images/app-dashboar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Xf7a3a6d7e10fb5ab4f24f66bda5492a2970e7de"/>
    <w:p>
      <w:pPr>
        <w:pStyle w:val="Heading3"/>
      </w:pPr>
      <w:r>
        <w:t xml:space="preserve">2. Install and first run</w:t>
      </w:r>
    </w:p>
    <w:p>
      <w:pPr>
        <w:pStyle w:val="FirstParagraph"/>
      </w:pPr>
      <w:r>
        <w:t xml:space="preserve">Install the build for your platform (</w:t>
      </w:r>
      <w:r>
        <w:rPr>
          <w:rStyle w:val="VerbatimChar"/>
        </w:rPr>
        <w:t xml:space="preserve">.dmg</w:t>
      </w:r>
      <w:r>
        <w:t xml:space="preserve">,</w:t>
      </w:r>
      <w:r>
        <w:t xml:space="preserve"> </w:t>
      </w:r>
      <w:r>
        <w:rPr>
          <w:rStyle w:val="VerbatimChar"/>
        </w:rPr>
        <w:t xml:space="preserve">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.AppImage</w:t>
      </w:r>
      <w:r>
        <w:t xml:space="preserve">). On first run the</w:t>
      </w:r>
      <w:r>
        <w:t xml:space="preserve"> </w:t>
      </w:r>
      <w:r>
        <w:t xml:space="preserve">application creates its database under the operating system's application-data directory and</w:t>
      </w:r>
      <w:r>
        <w:t xml:space="preserve"> </w:t>
      </w:r>
      <w:r>
        <w:t xml:space="preserve">seeds the packaged catalogue: WHONET organisms, antimicrobials, specimen types, expert rules</w:t>
      </w:r>
      <w:r>
        <w:t xml:space="preserve"> </w:t>
      </w:r>
      <w:r>
        <w:t xml:space="preserve">and panels, hash-pinned so a tampered catalogue is refused rather than loaded.</w:t>
      </w:r>
    </w:p>
    <w:p>
      <w:pPr>
        <w:pStyle w:val="BodyText"/>
      </w:pPr>
      <w:r>
        <w:t xml:space="preserve">Nothing else is created. There is no default account, no default laboratory and no sample</w:t>
      </w:r>
      <w:r>
        <w:t xml:space="preserve"> </w:t>
      </w:r>
      <w:r>
        <w:t xml:space="preserve">data — a deployment holding real results must never inherit invented ones.</w:t>
      </w:r>
    </w:p>
    <w:bookmarkEnd w:id="17"/>
    <w:bookmarkStart w:id="21" w:name="Xbcc897058c2233af4394fa4b45b29d06fcc0c2c"/>
    <w:p>
      <w:pPr>
        <w:pStyle w:val="Heading3"/>
      </w:pPr>
      <w:r>
        <w:t xml:space="preserve">3. Configure the deployment</w:t>
      </w:r>
    </w:p>
    <w:p>
      <w:pPr>
        <w:pStyle w:val="FirstParagraph"/>
      </w:pPr>
      <w:r>
        <w:rPr>
          <w:b/>
          <w:bCs/>
        </w:rPr>
        <w:t xml:space="preserve">Deployment → country profile.</w:t>
      </w:r>
      <w:r>
        <w:t xml:space="preserve"> </w:t>
      </w:r>
      <w:r>
        <w:t xml:space="preserve">The profile decides the country, its administrative tiers</w:t>
      </w:r>
      <w:r>
        <w:t xml:space="preserve"> </w:t>
      </w:r>
      <w:r>
        <w:t xml:space="preserve">(what they are called and how many there are), the default guideline (CLSI or EUCAST),</w:t>
      </w:r>
      <w:r>
        <w:t xml:space="preserve"> </w:t>
      </w:r>
      <w:r>
        <w:t xml:space="preserve">identifier namespaces, branding and the retention period. A profile is data, not code: the</w:t>
      </w:r>
      <w:r>
        <w:t xml:space="preserve"> </w:t>
      </w:r>
      <w:r>
        <w:t xml:space="preserve">same binary serves any country, and</w:t>
      </w:r>
      <w:r>
        <w:t xml:space="preserve"> </w:t>
      </w:r>
      <w:r>
        <w:rPr>
          <w:rStyle w:val="VerbatimChar"/>
        </w:rPr>
        <w:t xml:space="preserve">python3 tools/generate_country_reference.mjs</w:t>
      </w:r>
      <w:r>
        <w:t xml:space="preserve"> </w:t>
      </w:r>
      <w:r>
        <w:t xml:space="preserve">scaffolds a</w:t>
      </w:r>
      <w:r>
        <w:t xml:space="preserve"> </w:t>
      </w:r>
      <w:r>
        <w:t xml:space="preserve">new one.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Deployment settings" title="" id="19" name="Picture"/>
            <a:graphic>
              <a:graphicData uri="http://schemas.openxmlformats.org/drawingml/2006/picture">
                <pic:pic>
                  <pic:nvPicPr>
                    <pic:cNvPr descr="images/app-deploymen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changes are irreversible and say so before they are saved: changing the identifier</w:t>
      </w:r>
      <w:r>
        <w:t xml:space="preserve"> </w:t>
      </w:r>
      <w:r>
        <w:t xml:space="preserve">namespace (existing identifiers keep the old one) and changing the country (geography and</w:t>
      </w:r>
      <w:r>
        <w:t xml:space="preserve"> </w:t>
      </w:r>
      <w:r>
        <w:t xml:space="preserve">overrides from the previous country are discarded).</w:t>
      </w:r>
    </w:p>
    <w:bookmarkEnd w:id="21"/>
    <w:bookmarkStart w:id="28" w:name="X8d3144886287b10dfe38b52c4588bdd8fce15dd"/>
    <w:p>
      <w:pPr>
        <w:pStyle w:val="Heading3"/>
      </w:pPr>
      <w:r>
        <w:t xml:space="preserve">4. Register the laboratory and place it on the map</w:t>
      </w:r>
    </w:p>
    <w:p>
      <w:pPr>
        <w:pStyle w:val="FirstParagraph"/>
      </w:pPr>
      <w:r>
        <w:rPr>
          <w:b/>
          <w:bCs/>
        </w:rPr>
        <w:t xml:space="preserve">Laboratories → New laboratory.</w:t>
      </w:r>
      <w:r>
        <w:t xml:space="preserve"> </w:t>
      </w:r>
      <w:r>
        <w:t xml:space="preserve">A laboratory needs a code, a name and an address in the</w:t>
      </w:r>
      <w:r>
        <w:t xml:space="preserve"> </w:t>
      </w:r>
      <w:r>
        <w:t xml:space="preserve">country's own address shape — the form is generated from the profile, so an Indian deployment</w:t>
      </w:r>
      <w:r>
        <w:t xml:space="preserve"> </w:t>
      </w:r>
      <w:r>
        <w:t xml:space="preserve">asks for state and district and a Testland deployment asks for governorate and district.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Laboratory editor" title="" id="23" name="Picture"/>
            <a:graphic>
              <a:graphicData uri="http://schemas.openxmlformats.org/drawingml/2006/picture">
                <pic:pic>
                  <pic:nvPicPr>
                    <pic:cNvPr descr="images/app-laboratory-edito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address resolves to an administrative unit from the bundled geo pack. That unit — not a</w:t>
      </w:r>
      <w:r>
        <w:t xml:space="preserve"> </w:t>
      </w:r>
      <w:r>
        <w:t xml:space="preserve">typed place name — is what every scope filter, dashboard roll-up and map placement uses</w:t>
      </w:r>
      <w:r>
        <w:t xml:space="preserve"> </w:t>
      </w:r>
      <w:r>
        <w:t xml:space="preserve">afterwards.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Resolved placement" title="" id="26" name="Picture"/>
            <a:graphic>
              <a:graphicData uri="http://schemas.openxmlformats.org/drawingml/2006/picture">
                <pic:pic>
                  <pic:nvPicPr>
                    <pic:cNvPr descr="images/app-laboratory-editor-resolv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Site coordinates are optional and consent-gated (Sync → Optional location sharing). With</w:t>
      </w:r>
      <w:r>
        <w:t xml:space="preserve"> </w:t>
      </w:r>
      <w:r>
        <w:t xml:space="preserve">consent given,</w:t>
      </w:r>
      <w:r>
        <w:t xml:space="preserve"> </w:t>
      </w:r>
      <w:r>
        <w:rPr>
          <w:b/>
          <w:bCs/>
        </w:rPr>
        <w:t xml:space="preserve">Use this computer's location</w:t>
      </w:r>
      <w:r>
        <w:t xml:space="preserve"> </w:t>
      </w:r>
      <w:r>
        <w:t xml:space="preserve">reads the operating system's location service;</w:t>
      </w:r>
      <w:r>
        <w:t xml:space="preserve"> </w:t>
      </w:r>
      <w:r>
        <w:t xml:space="preserve">the coordinates can always be typed instead, and the source (device or hand-entered) travels</w:t>
      </w:r>
      <w:r>
        <w:t xml:space="preserve"> </w:t>
      </w:r>
      <w:r>
        <w:t xml:space="preserve">with the heartbeat, because how a coordinate was obtained is part of what it means.</w:t>
      </w:r>
    </w:p>
    <w:bookmarkEnd w:id="28"/>
    <w:bookmarkStart w:id="38" w:name="X4279feea4e865c75603570a008a5b5766070c11"/>
    <w:p>
      <w:pPr>
        <w:pStyle w:val="Heading3"/>
      </w:pPr>
      <w:r>
        <w:t xml:space="preserve">5. Catalogues and breakpoints</w:t>
      </w:r>
    </w:p>
    <w:p>
      <w:pPr>
        <w:pStyle w:val="FirstParagraph"/>
      </w:pPr>
      <w:r>
        <w:rPr>
          <w:b/>
          <w:bCs/>
        </w:rPr>
        <w:t xml:space="preserve">Master Studio</w:t>
      </w:r>
      <w:r>
        <w:t xml:space="preserve"> </w:t>
      </w:r>
      <w:r>
        <w:t xml:space="preserve">holds the reference data: organisms, antimicrobials, specimens, panels,</w:t>
      </w:r>
      <w:r>
        <w:t xml:space="preserve"> </w:t>
      </w:r>
      <w:r>
        <w:t xml:space="preserve">expected-resistance rules, expert rules, and local additions. Packaged rows are read-only;</w:t>
      </w:r>
      <w:r>
        <w:t xml:space="preserve"> </w:t>
      </w:r>
      <w:r>
        <w:t xml:space="preserve">local rows are marked custom and can be deactivated but never silently overwrite the</w:t>
      </w:r>
      <w:r>
        <w:t xml:space="preserve"> </w:t>
      </w:r>
      <w:r>
        <w:t xml:space="preserve">catalogue.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Master Studio" title="" id="30" name="Picture"/>
            <a:graphic>
              <a:graphicData uri="http://schemas.openxmlformats.org/drawingml/2006/picture">
                <pic:pic>
                  <pic:nvPicPr>
                    <pic:cNvPr descr="images/app-master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Breakpoint Centre</w:t>
      </w:r>
      <w:r>
        <w:t xml:space="preserve"> </w:t>
      </w:r>
      <w:r>
        <w:t xml:space="preserve">is where guidelines arrive. EUCAST publishes its tables free of charge</w:t>
      </w:r>
      <w:r>
        <w:t xml:space="preserve"> </w:t>
      </w:r>
      <w:r>
        <w:t xml:space="preserve">and permits redistribution, so the application fetches and stages the current edition with one</w:t>
      </w:r>
      <w:r>
        <w:t xml:space="preserve"> </w:t>
      </w:r>
      <w:r>
        <w:t xml:space="preserve">button. CLSI's M100 is a paid standard: the application links to it and imports a workbook you</w:t>
      </w:r>
      <w:r>
        <w:t xml:space="preserve"> </w:t>
      </w:r>
      <w:r>
        <w:t xml:space="preserve">supply. Either way the set is</w:t>
      </w:r>
      <w:r>
        <w:t xml:space="preserve"> </w:t>
      </w:r>
      <w:r>
        <w:rPr>
          <w:i/>
          <w:iCs/>
        </w:rPr>
        <w:t xml:space="preserve">staged inactive</w:t>
      </w:r>
      <w:r>
        <w:t xml:space="preserve"> </w:t>
      </w:r>
      <w:r>
        <w:t xml:space="preserve">and must be activated deliberately (§23).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Breakpoint Centre" title="" id="33" name="Picture"/>
            <a:graphic>
              <a:graphicData uri="http://schemas.openxmlformats.org/drawingml/2006/picture">
                <pic:pic>
                  <pic:nvPicPr>
                    <pic:cNvPr descr="images/app-breakpoint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screenshot above is a live fetch: EUCAST v15.0, 950 rows staged,</w:t>
      </w:r>
      <w:r>
        <w:t xml:space="preserve"> </w:t>
      </w:r>
      <w:r>
        <w:rPr>
          <w:rStyle w:val="VerbatimChar"/>
        </w:rPr>
        <w:t xml:space="preserve">0 unmatched 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and an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button that has not been pressed. Until it is, nothing in this</w:t>
      </w:r>
      <w:r>
        <w:t xml:space="preserve"> </w:t>
      </w:r>
      <w:r>
        <w:t xml:space="preserve">set interprets anything.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Staged rows" title="" id="36" name="Picture"/>
            <a:graphic>
              <a:graphicData uri="http://schemas.openxmlformats.org/drawingml/2006/picture">
                <pic:pic>
                  <pic:nvPicPr>
                    <pic:cNvPr descr="images/app-breakpoints-stag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preview lists what was staged — organism scope, agent, method, site and route, and the</w:t>
      </w:r>
      <w:r>
        <w:t xml:space="preserve"> </w:t>
      </w:r>
      <w:r>
        <w:t xml:space="preserve">R/I/S thresholds — so a reviewer checks rows rather than trusting a row count.</w:t>
      </w:r>
    </w:p>
    <w:bookmarkEnd w:id="38"/>
    <w:bookmarkStart w:id="48" w:name="X8e9af8e3cda1c5ece979280703613af51f84f13"/>
    <w:p>
      <w:pPr>
        <w:pStyle w:val="Heading3"/>
      </w:pPr>
      <w:r>
        <w:t xml:space="preserve">6. Enter data</w:t>
      </w:r>
    </w:p>
    <w:p>
      <w:pPr>
        <w:pStyle w:val="FirstParagraph"/>
      </w:pPr>
      <w:r>
        <w:t xml:space="preserve">Three routes, all landing in the same validated shape:</w:t>
      </w:r>
    </w:p>
    <w:p>
      <w:pPr>
        <w:pStyle w:val="BodyText"/>
      </w:pPr>
      <w:r>
        <w:rPr>
          <w:b/>
          <w:bCs/>
        </w:rPr>
        <w:t xml:space="preserve">Type a record.</w:t>
      </w:r>
      <w:r>
        <w:t xml:space="preserve"> </w:t>
      </w:r>
      <w:r>
        <w:t xml:space="preserve">Identity first (patient identifier, specimen number and date, specimen</w:t>
      </w:r>
      <w:r>
        <w:t xml:space="preserve"> </w:t>
      </w:r>
      <w:r>
        <w:t xml:space="preserve">type, organism), then residence, then AST. The antimicrobial panel offered is the one matching</w:t>
      </w:r>
      <w:r>
        <w:t xml:space="preserve"> </w:t>
      </w:r>
      <w:r>
        <w:t xml:space="preserve">the organism and specimen, from the panel catalogue.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Isolate records" title="" id="40" name="Picture"/>
            <a:graphic>
              <a:graphicData uri="http://schemas.openxmlformats.org/drawingml/2006/picture">
                <pic:pic>
                  <pic:nvPicPr>
                    <pic:cNvPr descr="images/app-record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editor is where identity, specimen, organism and the antimicrobial panel are entered, and</w:t>
      </w:r>
      <w:r>
        <w:t xml:space="preserve"> </w:t>
      </w:r>
      <w:r>
        <w:t xml:space="preserve">where decision support answers as you type: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Record editor" title="" id="43" name="Picture"/>
            <a:graphic>
              <a:graphicData uri="http://schemas.openxmlformats.org/drawingml/2006/picture">
                <pic:pic>
                  <pic:nvPicPr>
                    <pic:cNvPr descr="images/app-records-edito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 a batch.</w:t>
      </w:r>
      <w:r>
        <w:t xml:space="preserve"> </w:t>
      </w:r>
      <w:r>
        <w:t xml:space="preserve">Map columns once, save the mapping as a profile, and reuse it. The preview</w:t>
      </w:r>
      <w:r>
        <w:t xml:space="preserve"> </w:t>
      </w:r>
      <w:r>
        <w:t xml:space="preserve">shows what will be imported, what will land as a draft and what is refused, per row and with a</w:t>
      </w:r>
      <w:r>
        <w:t xml:space="preserve"> </w:t>
      </w:r>
      <w:r>
        <w:t xml:space="preserve">reason, before anything is written.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Import" title="" id="46" name="Picture"/>
            <a:graphic>
              <a:graphicData uri="http://schemas.openxmlformats.org/drawingml/2006/picture">
                <pic:pic>
                  <pic:nvPicPr>
                    <pic:cNvPr descr="images/app-import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WHONET legacy.</w:t>
      </w:r>
      <w:r>
        <w:t xml:space="preserve"> </w:t>
      </w:r>
      <w:r>
        <w:t xml:space="preserve">Existing WHONET data files import directly, including their code sets.</w:t>
      </w:r>
    </w:p>
    <w:bookmarkEnd w:id="48"/>
    <w:bookmarkStart w:id="52" w:name="X9704bd5a31c21578570f2140cb3e7990cb3da57"/>
    <w:p>
      <w:pPr>
        <w:pStyle w:val="Heading3"/>
      </w:pPr>
      <w:r>
        <w:t xml:space="preserve">7. Quality control and decision support</w:t>
      </w:r>
    </w:p>
    <w:p>
      <w:pPr>
        <w:pStyle w:val="FirstParagraph"/>
      </w:pPr>
      <w:r>
        <w:drawing>
          <wp:inline>
            <wp:extent cx="5334000" cy="3148735"/>
            <wp:effectExtent b="0" l="0" r="0" t="0"/>
            <wp:docPr descr="Figure 6" title="" id="50" name="Picture"/>
            <a:graphic>
              <a:graphicData uri="http://schemas.openxmlformats.org/drawingml/2006/picture">
                <pic:pic>
                  <pic:nvPicPr>
                    <pic:cNvPr descr="images/fig-record-lifecycl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6 — one validation path, whichever door the data comes in by.</w:t>
      </w:r>
    </w:p>
    <w:p>
      <w:pPr>
        <w:pStyle w:val="BodyText"/>
      </w:pPr>
      <w:r>
        <w:t xml:space="preserve">Every write passes the same decision-support layer, whether typed, imported or seeded: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A measurement with no explicit S/I/R is interpreted from the active</w:t>
      </w:r>
      <w:r>
        <w:t xml:space="preserve"> </w:t>
      </w:r>
      <w:r>
        <w:t xml:space="preserve">breakpoint set — and left blank with a stated reason when the set has no matching row, when</w:t>
      </w:r>
      <w:r>
        <w:t xml:space="preserve"> </w:t>
      </w:r>
      <w:r>
        <w:t xml:space="preserve">two equally specific rows disagree, or when the record does not state something the</w:t>
      </w:r>
      <w:r>
        <w:t xml:space="preserve"> </w:t>
      </w:r>
      <w:r>
        <w:t xml:space="preserve">breakpoint depends on (§23).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resistance.</w:t>
      </w:r>
      <w:r>
        <w:t xml:space="preserve"> </w:t>
      </w:r>
      <w:r>
        <w:t xml:space="preserve">An organism reported susceptible to an agent it is intrinsically</w:t>
      </w:r>
      <w:r>
        <w:t xml:space="preserve"> </w:t>
      </w:r>
      <w:r>
        <w:t xml:space="preserve">resistant to raises an alert rather than being corrected silently.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Expert rules.</w:t>
      </w:r>
      <w:r>
        <w:t xml:space="preserve"> </w:t>
      </w:r>
      <w:r>
        <w:t xml:space="preserve">Configurable phenotype rules (ESBL, carbapenemase, MRSA, inducible</w:t>
      </w:r>
      <w:r>
        <w:t xml:space="preserve"> </w:t>
      </w:r>
      <w:r>
        <w:t xml:space="preserve">clindamycin) add comments and alerts.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Contaminant and duplicate checks.</w:t>
      </w:r>
      <w:r>
        <w:t xml:space="preserve"> </w:t>
      </w:r>
      <w:r>
        <w:t xml:space="preserve">Likely skin flora in a sterile-site culture is</w:t>
      </w:r>
      <w:r>
        <w:t xml:space="preserve"> </w:t>
      </w:r>
      <w:r>
        <w:t xml:space="preserve">flagged; an identical patient/specimen identity is refused as a duplicate.</w:t>
      </w:r>
    </w:p>
    <w:bookmarkEnd w:id="52"/>
    <w:bookmarkStart w:id="59" w:name="X5182985adc1332cc4bf944cec78100faf6b7ece"/>
    <w:p>
      <w:pPr>
        <w:pStyle w:val="Heading3"/>
      </w:pPr>
      <w:r>
        <w:t xml:space="preserve">8. Analyse</w:t>
      </w:r>
    </w:p>
    <w:p>
      <w:pPr>
        <w:pStyle w:val="FirstParagraph"/>
      </w:pPr>
      <w:r>
        <w:rPr>
          <w:b/>
          <w:bCs/>
        </w:rPr>
        <w:t xml:space="preserve">Analytics</w:t>
      </w:r>
      <w:r>
        <w:t xml:space="preserve"> </w:t>
      </w:r>
      <w:r>
        <w:t xml:space="preserve">runs deterministic, reproducible analyses over the local database: resistance</w:t>
      </w:r>
      <w:r>
        <w:t xml:space="preserve"> </w:t>
      </w:r>
      <w:r>
        <w:t xml:space="preserve">rates by organism and agent, antibiograms, specimen and organism distributions, priority</w:t>
      </w:r>
      <w:r>
        <w:t xml:space="preserve"> </w:t>
      </w:r>
      <w:r>
        <w:t xml:space="preserve">indicators, time trends, and a local outbreak scan.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Analytics" title="" id="54" name="Picture"/>
            <a:graphic>
              <a:graphicData uri="http://schemas.openxmlformats.org/drawingml/2006/picture">
                <pic:pic>
                  <pic:nvPicPr>
                    <pic:cNvPr descr="images/app-analytic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 an analysis run, the same screen carries the antibiogram, the priority indicators and</w:t>
      </w:r>
      <w:r>
        <w:t xml:space="preserve"> </w:t>
      </w:r>
      <w:r>
        <w:t xml:space="preserve">the resistance table computed over the current filter set: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Analysis results" title="" id="57" name="Picture"/>
            <a:graphic>
              <a:graphicData uri="http://schemas.openxmlformats.org/drawingml/2006/picture">
                <pic:pic>
                  <pic:nvPicPr>
                    <pic:cNvPr descr="images/app-analytics-result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things are always explicit on screen because they change every number: the</w:t>
      </w:r>
      <w:r>
        <w:t xml:space="preserve"> </w:t>
      </w:r>
      <w:r>
        <w:rPr>
          <w:b/>
          <w:bCs/>
        </w:rPr>
        <w:t xml:space="preserve">deduplication mode</w:t>
      </w:r>
      <w:r>
        <w:t xml:space="preserve"> </w:t>
      </w:r>
      <w:r>
        <w:t xml:space="preserve">(§24) and the</w:t>
      </w:r>
      <w:r>
        <w:t xml:space="preserve"> </w:t>
      </w:r>
      <w:r>
        <w:rPr>
          <w:b/>
          <w:bCs/>
        </w:rPr>
        <w:t xml:space="preserve">date window</w:t>
      </w:r>
      <w:r>
        <w:t xml:space="preserve">. A saved macro stores a whole filter set</w:t>
      </w:r>
      <w:r>
        <w:t xml:space="preserve"> </w:t>
      </w:r>
      <w:r>
        <w:t xml:space="preserve">so the same analysis can be re-run next month and compared honestly.</w:t>
      </w:r>
    </w:p>
    <w:bookmarkEnd w:id="59"/>
    <w:bookmarkStart w:id="63" w:name="X91735cf587011b90565c4626566bad342cc2290"/>
    <w:p>
      <w:pPr>
        <w:pStyle w:val="Heading3"/>
      </w:pPr>
      <w:r>
        <w:t xml:space="preserve">9. One Health capture</w:t>
      </w:r>
    </w:p>
    <w:p>
      <w:pPr>
        <w:pStyle w:val="FirstParagraph"/>
      </w:pPr>
      <w:r>
        <w:t xml:space="preserve">AMR is not only a human-health problem. The</w:t>
      </w:r>
      <w:r>
        <w:t xml:space="preserve"> </w:t>
      </w:r>
      <w:r>
        <w:rPr>
          <w:b/>
          <w:bCs/>
        </w:rPr>
        <w:t xml:space="preserve">One Health</w:t>
      </w:r>
      <w:r>
        <w:t xml:space="preserve"> </w:t>
      </w:r>
      <w:r>
        <w:t xml:space="preserve">workbench captures veterinary,</w:t>
      </w:r>
      <w:r>
        <w:t xml:space="preserve"> </w:t>
      </w:r>
      <w:r>
        <w:t xml:space="preserve">environmental, food-chain, antimicrobial-consumption and laboratory-quality events against</w:t>
      </w:r>
      <w:r>
        <w:t xml:space="preserve"> </w:t>
      </w:r>
      <w:r>
        <w:t xml:space="preserve">the same facility registry, with its own operator accounts and its own governance.</w:t>
      </w:r>
    </w:p>
    <w:p>
      <w:pPr>
        <w:pStyle w:val="BodyText"/>
      </w:pPr>
      <w:r>
        <w:drawing>
          <wp:inline>
            <wp:extent cx="5334000" cy="3289300"/>
            <wp:effectExtent b="0" l="0" r="0" t="0"/>
            <wp:docPr descr="One Health" title="" id="61" name="Picture"/>
            <a:graphic>
              <a:graphicData uri="http://schemas.openxmlformats.org/drawingml/2006/picture">
                <pic:pic>
                  <pic:nvPicPr>
                    <pic:cNvPr descr="images/app-oneHealth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X25a5a578d52daf192153039a9312d9726a0256c"/>
    <w:p>
      <w:pPr>
        <w:pStyle w:val="Heading3"/>
      </w:pPr>
      <w:r>
        <w:t xml:space="preserve">10. Export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WHONET</w:t>
            </w:r>
          </w:p>
        </w:tc>
        <w:tc>
          <w:tcPr/>
          <w:p>
            <w:pPr>
              <w:pStyle w:val="Compact"/>
            </w:pPr>
            <w:r>
              <w:t xml:space="preserve">Exchange with the WHONET/GLASS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 (Observation / MeasureReport)</w:t>
            </w:r>
          </w:p>
        </w:tc>
        <w:tc>
          <w:tcPr/>
          <w:p>
            <w:pPr>
              <w:pStyle w:val="Compact"/>
            </w:pPr>
            <w:r>
              <w:t xml:space="preserve">Interoperable clinical and aggregate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v2</w:t>
            </w:r>
          </w:p>
        </w:tc>
        <w:tc>
          <w:tcPr/>
          <w:p>
            <w:pPr>
              <w:pStyle w:val="Compact"/>
            </w:pPr>
            <w:r>
              <w:t xml:space="preserve">Feeding a hospital information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 bundle</w:t>
            </w:r>
          </w:p>
        </w:tc>
        <w:tc>
          <w:tcPr/>
          <w:p>
            <w:pPr>
              <w:pStyle w:val="Compact"/>
            </w:pPr>
            <w:r>
              <w:t xml:space="preserve">Aggregate indicator reporting to a programme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/ JSON</w:t>
            </w:r>
          </w:p>
        </w:tc>
        <w:tc>
          <w:tcPr/>
          <w:p>
            <w:pPr>
              <w:pStyle w:val="Compact"/>
            </w:pPr>
            <w:r>
              <w:t xml:space="preserve">Analysis in R, Python, Excel</w:t>
            </w:r>
          </w:p>
        </w:tc>
      </w:tr>
    </w:tbl>
    <w:p>
      <w:pPr>
        <w:pStyle w:val="BodyText"/>
      </w:pPr>
      <w:r>
        <w:drawing>
          <wp:inline>
            <wp:extent cx="5334000" cy="3289300"/>
            <wp:effectExtent b="0" l="0" r="0" t="0"/>
            <wp:docPr descr="Exports" title="" id="65" name="Picture"/>
            <a:graphic>
              <a:graphicData uri="http://schemas.openxmlformats.org/drawingml/2006/picture">
                <pic:pic>
                  <pic:nvPicPr>
                    <pic:cNvPr descr="images/app-expor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 export is a deliberate act by the operator, and it may contain patient-level data — that is</w:t>
      </w:r>
      <w:r>
        <w:t xml:space="preserve"> </w:t>
      </w:r>
      <w:r>
        <w:t xml:space="preserve">the difference between an export and federation (§28), and the audit log records both.</w:t>
      </w:r>
    </w:p>
    <w:bookmarkEnd w:id="67"/>
    <w:bookmarkStart w:id="74" w:name="Xade287c8153de0a687f2d040226c1b725f61c69"/>
    <w:p>
      <w:pPr>
        <w:pStyle w:val="Heading3"/>
      </w:pPr>
      <w:r>
        <w:t xml:space="preserve">11. Join a central server (federation)</w:t>
      </w:r>
    </w:p>
    <w:p>
      <w:pPr>
        <w:pStyle w:val="FirstParagraph"/>
      </w:pPr>
      <w:r>
        <w:drawing>
          <wp:inline>
            <wp:extent cx="5334000" cy="3289300"/>
            <wp:effectExtent b="0" l="0" r="0" t="0"/>
            <wp:docPr descr="Sync" title="" id="69" name="Picture"/>
            <a:graphic>
              <a:graphicData uri="http://schemas.openxmlformats.org/drawingml/2006/picture">
                <pic:pic>
                  <pic:nvPicPr>
                    <pic:cNvPr descr="images/app-syn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 access.</w:t>
      </w:r>
      <w:r>
        <w:t xml:space="preserve"> </w:t>
      </w:r>
      <w:r>
        <w:t xml:space="preserve">The desktop registers its lab code with the server and receives a</w:t>
      </w:r>
      <w:r>
        <w:t xml:space="preserve"> </w:t>
      </w:r>
      <w:r>
        <w:t xml:space="preserve">one-time</w:t>
      </w:r>
      <w:r>
        <w:t xml:space="preserve"> </w:t>
      </w:r>
      <w:r>
        <w:rPr>
          <w:i/>
          <w:iCs/>
        </w:rPr>
        <w:t xml:space="preserve">pickup token</w:t>
      </w:r>
      <w:r>
        <w:t xml:space="preserve">. Nothing is granted yet.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 administrator approves</w:t>
      </w:r>
      <w:r>
        <w:t xml:space="preserve"> </w:t>
      </w:r>
      <w:r>
        <w:t xml:space="preserve">it in the portal, which creates the site and mints a</w:t>
      </w:r>
      <w:r>
        <w:t xml:space="preserve"> </w:t>
      </w:r>
      <w:r>
        <w:rPr>
          <w:i/>
          <w:iCs/>
        </w:rPr>
        <w:t xml:space="preserve">site</w:t>
      </w:r>
      <w:r>
        <w:rPr>
          <w:i/>
          <w:iCs/>
        </w:rP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delivered out of band.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Collect the token.</w:t>
      </w:r>
      <w:r>
        <w:t xml:space="preserve"> </w:t>
      </w:r>
      <w:r>
        <w:t xml:space="preserve">The desktop redeems its pickup token for a bearer token it mints and</w:t>
      </w:r>
      <w:r>
        <w:t xml:space="preserve"> </w:t>
      </w:r>
      <w:r>
        <w:t xml:space="preserve">stores in the operating system's credential vault. The server keeps only a hash.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Allow-list the query types</w:t>
      </w:r>
      <w:r>
        <w:t xml:space="preserve"> </w:t>
      </w:r>
      <w:r>
        <w:t xml:space="preserve">this laboratory will answer. A query type not on the list is</w:t>
      </w:r>
      <w:r>
        <w:t xml:space="preserve"> </w:t>
      </w:r>
      <w:r>
        <w:t xml:space="preserve">refused, logged and answered with an error.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sync.</w:t>
      </w:r>
      <w:r>
        <w:t xml:space="preserve"> </w:t>
      </w:r>
      <w:r>
        <w:t xml:space="preserve">A long-poll worker asks for questions; a WebSocket connection lets the</w:t>
      </w:r>
      <w:r>
        <w:t xml:space="preserve"> </w:t>
      </w:r>
      <w:r>
        <w:t xml:space="preserve">server nudge for an immediate answer. A four-hourly heartbeat reports presence.</w:t>
      </w:r>
    </w:p>
    <w:p>
      <w:pPr>
        <w:pStyle w:val="FirstParagraph"/>
      </w:pPr>
      <w:r>
        <w:drawing>
          <wp:inline>
            <wp:extent cx="5334000" cy="3469892"/>
            <wp:effectExtent b="0" l="0" r="0" t="0"/>
            <wp:docPr descr="Figure 2" title="" id="72" name="Picture"/>
            <a:graphic>
              <a:graphicData uri="http://schemas.openxmlformats.org/drawingml/2006/picture">
                <pic:pic>
                  <pic:nvPicPr>
                    <pic:cNvPr descr="images/fig-enrolmen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 — enrolment and the two-token credential exchange.</w:t>
      </w:r>
    </w:p>
    <w:bookmarkEnd w:id="74"/>
    <w:bookmarkStart w:id="78" w:name="X31a1b29b03234f537f450b68d19559cf8bf4988"/>
    <w:p>
      <w:pPr>
        <w:pStyle w:val="Heading3"/>
      </w:pPr>
      <w:r>
        <w:t xml:space="preserve">12. Privacy, retention, audit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Retention.</w:t>
      </w:r>
      <w:r>
        <w:t xml:space="preserve"> </w:t>
      </w:r>
      <w:r>
        <w:t xml:space="preserve">The profile sets a retention period; expiry removes row-level data on a</w:t>
      </w:r>
      <w:r>
        <w:t xml:space="preserve"> </w:t>
      </w:r>
      <w:r>
        <w:t xml:space="preserve">schedule, with a dry run that reports what would go first.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Erasure.</w:t>
      </w:r>
      <w:r>
        <w:t xml:space="preserve"> </w:t>
      </w:r>
      <w:r>
        <w:t xml:space="preserve">A named subject's rows can be erased on request, with the erasure itself</w:t>
      </w:r>
      <w:r>
        <w:t xml:space="preserve"> </w:t>
      </w:r>
      <w:r>
        <w:t xml:space="preserve">audited.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Audit.</w:t>
      </w:r>
      <w:r>
        <w:t xml:space="preserve"> </w:t>
      </w:r>
      <w:r>
        <w:t xml:space="preserve">Every consequential act — saving a record, activating a breakpoint set, exporting</w:t>
      </w:r>
      <w:r>
        <w:t xml:space="preserve"> </w:t>
      </w:r>
      <w:r>
        <w:t xml:space="preserve">a file, starting sync, answering a query — is written to an append-only local log.</w:t>
      </w:r>
    </w:p>
    <w:p>
      <w:pPr>
        <w:pStyle w:val="FirstParagraph"/>
      </w:pPr>
      <w:r>
        <w:drawing>
          <wp:inline>
            <wp:extent cx="5334000" cy="3289300"/>
            <wp:effectExtent b="0" l="0" r="0" t="0"/>
            <wp:docPr descr="Audit" title="" id="76" name="Picture"/>
            <a:graphic>
              <a:graphicData uri="http://schemas.openxmlformats.org/drawingml/2006/picture">
                <pic:pic>
                  <pic:nvPicPr>
                    <pic:cNvPr descr="images/app-audi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61" w:name="part-ii--central-web-portal"/>
    <w:p>
      <w:pPr>
        <w:pStyle w:val="Heading2"/>
      </w:pPr>
      <w:r>
        <w:t xml:space="preserve">Part II — Central web portal</w:t>
      </w:r>
    </w:p>
    <w:bookmarkStart w:id="80" w:name="X241c30f5276e7b495b5e1f00c55732c8e7cf010"/>
    <w:p>
      <w:pPr>
        <w:pStyle w:val="Heading3"/>
      </w:pPr>
      <w:r>
        <w:t xml:space="preserve">13. Deploy the server</w:t>
      </w:r>
    </w:p>
    <w:p>
      <w:pPr>
        <w:pStyle w:val="FirstParagraph"/>
      </w:pPr>
      <w:r>
        <w:t xml:space="preserve">The portal is Django with Postgres and Redis, shipped as a Docker Compose stack.</w:t>
      </w:r>
    </w:p>
    <w:p>
      <w:pPr>
        <w:pStyle w:val="SourceCode"/>
      </w:pPr>
      <w:r>
        <w:rPr>
          <w:rStyle w:val="VerbatimChar"/>
        </w:rPr>
        <w:t xml:space="preserve">cd server/amrit_central_server</w:t>
      </w:r>
      <w:r>
        <w:br/>
      </w: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# set at least: DJANGO_SECRET_KEY, DJANGO_ALLOWED_HOSTS, POSTGRES_PASSWORD,</w:t>
      </w:r>
      <w:r>
        <w:br/>
      </w:r>
      <w:r>
        <w:rPr>
          <w:rStyle w:val="VerbatimChar"/>
        </w:rPr>
        <w:t xml:space="preserve">#               AMRIT_COUNTRY_PROFILE (e.g. IN), AMRIT_ENROLMENT_SECRET</w:t>
      </w:r>
      <w:r>
        <w:br/>
      </w:r>
      <w:r>
        <w:rPr>
          <w:rStyle w:val="VerbatimChar"/>
        </w:rPr>
        <w:t xml:space="preserve">docker compose up -d --build</w:t>
      </w:r>
      <w:r>
        <w:br/>
      </w:r>
      <w:r>
        <w:rPr>
          <w:rStyle w:val="VerbatimChar"/>
        </w:rPr>
        <w:t xml:space="preserve">docker compose run --rm web python manage.py bootstrap   # first administrator</w:t>
      </w:r>
    </w:p>
    <w:p>
      <w:pPr>
        <w:pStyle w:val="FirstParagraph"/>
      </w:pPr>
      <w:r>
        <w:t xml:space="preserve">The entrypoint migrates, collects static assets and — only when</w:t>
      </w:r>
      <w:r>
        <w:t xml:space="preserve"> </w:t>
      </w:r>
      <w:r>
        <w:rPr>
          <w:rStyle w:val="VerbatimChar"/>
        </w:rPr>
        <w:t xml:space="preserve">AMRIT_SEED_DEMO=1</w:t>
      </w:r>
      <w:r>
        <w:t xml:space="preserve"> </w:t>
      </w:r>
      <w:r>
        <w:t xml:space="preserve">— seeds</w:t>
      </w:r>
      <w:r>
        <w:t xml:space="preserve"> </w:t>
      </w:r>
      <w:r>
        <w:t xml:space="preserve">the demonstration pack for the configured country. A country with no pack is reported and</w:t>
      </w:r>
      <w:r>
        <w:t xml:space="preserve"> </w:t>
      </w:r>
      <w:r>
        <w:t xml:space="preserve">skipped, never filled with another country's hospitals.</w:t>
      </w:r>
    </w:p>
    <w:p>
      <w:pPr>
        <w:pStyle w:val="BodyText"/>
      </w:pPr>
      <w:r>
        <w:t xml:space="preserve">The stack publishes on loopback only. Nothing in it terminates TLS; put a reverse proxy in</w:t>
      </w:r>
      <w:r>
        <w:t xml:space="preserve"> </w:t>
      </w:r>
      <w:r>
        <w:t xml:space="preserve">front before exposing it, because both operator sign-in and site enrolment carry credentials.</w:t>
      </w:r>
    </w:p>
    <w:bookmarkEnd w:id="80"/>
    <w:bookmarkStart w:id="90" w:name="X77c6da1b11ab3dcee9cb370597999bcf1169afc"/>
    <w:p>
      <w:pPr>
        <w:pStyle w:val="Heading3"/>
      </w:pPr>
      <w:r>
        <w:t xml:space="preserve">14. The site registry and enrolment</w:t>
      </w:r>
    </w:p>
    <w:p>
      <w:pPr>
        <w:pStyle w:val="FirstParagraph"/>
      </w:pPr>
      <w:r>
        <w:rPr>
          <w:b/>
          <w:bCs/>
        </w:rPr>
        <w:t xml:space="preserve">Registry → Sites</w:t>
      </w:r>
      <w:r>
        <w:t xml:space="preserve"> </w:t>
      </w:r>
      <w:r>
        <w:t xml:space="preserve">lists every laboratory, its administrative unit, when it was last seen</w:t>
      </w:r>
      <w:r>
        <w:t xml:space="preserve"> </w:t>
      </w:r>
      <w:r>
        <w:t xml:space="preserve">and whether it is online.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Sites" title="" id="82" name="Picture"/>
            <a:graphic>
              <a:graphicData uri="http://schemas.openxmlformats.org/drawingml/2006/picture">
                <pic:pic>
                  <pic:nvPicPr>
                    <pic:cNvPr descr="images/portal-site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Registry → Requests</w:t>
      </w:r>
      <w:r>
        <w:t xml:space="preserve"> </w:t>
      </w:r>
      <w:r>
        <w:t xml:space="preserve">is the enrolment queue: laboratories that have asked to join and are</w:t>
      </w:r>
      <w:r>
        <w:t xml:space="preserve"> </w:t>
      </w:r>
      <w:r>
        <w:t xml:space="preserve">waiting for a decision. Approving creates the site and shows its site token exactly once.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Site requests" title="" id="85" name="Picture"/>
            <a:graphic>
              <a:graphicData uri="http://schemas.openxmlformats.org/drawingml/2006/picture">
                <pic:pic>
                  <pic:nvPicPr>
                    <pic:cNvPr descr="images/portal-site-request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Both credentials can be reset independently, and each reset stops that site syncing until the</w:t>
      </w:r>
      <w:r>
        <w:t xml:space="preserve"> </w:t>
      </w:r>
      <w:r>
        <w:t xml:space="preserve">new value reaches it — which the screen says before the button is pressed.</w:t>
      </w:r>
    </w:p>
    <w:p>
      <w:pPr>
        <w:pStyle w:val="BodyText"/>
      </w:pPr>
      <w:r>
        <w:rPr>
          <w:b/>
          <w:bCs/>
        </w:rPr>
        <w:t xml:space="preserve">Registry → Map</w:t>
      </w:r>
      <w:r>
        <w:t xml:space="preserve"> </w:t>
      </w:r>
      <w:r>
        <w:t xml:space="preserve">places every consenting site.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Map" title="" id="88" name="Picture"/>
            <a:graphic>
              <a:graphicData uri="http://schemas.openxmlformats.org/drawingml/2006/picture">
                <pic:pic>
                  <pic:nvPicPr>
                    <pic:cNvPr descr="images/portal-map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7" w:name="X2070a06c8aeef508e121dac5fe46fc06a501f9e"/>
    <w:p>
      <w:pPr>
        <w:pStyle w:val="Heading3"/>
      </w:pPr>
      <w:r>
        <w:t xml:space="preserve">15. Asking questions</w:t>
      </w:r>
    </w:p>
    <w:p>
      <w:pPr>
        <w:pStyle w:val="FirstParagraph"/>
      </w:pPr>
      <w:r>
        <w:rPr>
          <w:b/>
          <w:bCs/>
        </w:rPr>
        <w:t xml:space="preserve">Queries → New query</w:t>
      </w:r>
      <w:r>
        <w:t xml:space="preserve"> </w:t>
      </w:r>
      <w:r>
        <w:t xml:space="preserve">composes a question and targets it: all sites, an administrative unit,</w:t>
      </w:r>
      <w:r>
        <w:t xml:space="preserve"> </w:t>
      </w:r>
      <w:r>
        <w:t xml:space="preserve">or named laboratories.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New query" title="" id="92" name="Picture"/>
            <a:graphic>
              <a:graphicData uri="http://schemas.openxmlformats.org/drawingml/2006/picture">
                <pic:pic>
                  <pic:nvPicPr>
                    <pic:cNvPr descr="images/portal-query-new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type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isolate_count</w:t>
            </w:r>
          </w:p>
        </w:tc>
        <w:tc>
          <w:tcPr/>
          <w:p>
            <w:pPr>
              <w:pStyle w:val="Compact"/>
            </w:pPr>
            <w:r>
              <w:t xml:space="preserve">How many isolates match the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organism_distribution</w:t>
            </w:r>
          </w:p>
        </w:tc>
        <w:tc>
          <w:tcPr/>
          <w:p>
            <w:pPr>
              <w:pStyle w:val="Compact"/>
            </w:pPr>
            <w:r>
              <w:t xml:space="preserve">Counts by organism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specimen_distribution</w:t>
            </w:r>
          </w:p>
        </w:tc>
        <w:tc>
          <w:tcPr/>
          <w:p>
            <w:pPr>
              <w:pStyle w:val="Compact"/>
            </w:pPr>
            <w:r>
              <w:t xml:space="preserve">Counts by specimen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resistance_rate</w:t>
            </w:r>
          </w:p>
        </w:tc>
        <w:tc>
          <w:tcPr/>
          <w:p>
            <w:pPr>
              <w:pStyle w:val="Compact"/>
            </w:pPr>
            <w:r>
              <w:t xml:space="preserve">Numerator, denominator and percentage for an organism/agent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measure_bundle</w:t>
            </w:r>
          </w:p>
        </w:tc>
        <w:tc>
          <w:tcPr/>
          <w:p>
            <w:pPr>
              <w:pStyle w:val="Compact"/>
            </w:pPr>
            <w:r>
              <w:t xml:space="preserve">The same as a FHIR MeasureReport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cluster_scan</w:t>
            </w:r>
          </w:p>
        </w:tc>
        <w:tc>
          <w:tcPr/>
          <w:p>
            <w:pPr>
              <w:pStyle w:val="Compact"/>
            </w:pPr>
            <w:r>
              <w:t xml:space="preserve">Daily case counts by site and phenotype, for outbreak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Presence only</w:t>
            </w:r>
          </w:p>
        </w:tc>
      </w:tr>
    </w:tbl>
    <w:p>
      <w:pPr>
        <w:pStyle w:val="BodyText"/>
      </w:pPr>
      <w:r>
        <w:t xml:space="preserve">Queries expire (</w:t>
      </w:r>
      <w:r>
        <w:rPr>
          <w:rStyle w:val="VerbatimChar"/>
        </w:rPr>
        <w:t xml:space="preserve">AMRIT_QUERY_TTL_SECONDS</w:t>
      </w:r>
      <w:r>
        <w:t xml:space="preserve">), and each site's answer is recorded separately, so</w:t>
      </w:r>
      <w:r>
        <w:t xml:space="preserve"> </w:t>
      </w:r>
      <w:r>
        <w:t xml:space="preserve">a partial answer is visibly partial.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Queries" title="" id="95" name="Picture"/>
            <a:graphic>
              <a:graphicData uri="http://schemas.openxmlformats.org/drawingml/2006/picture">
                <pic:pic>
                  <pic:nvPicPr>
                    <pic:cNvPr descr="images/portal-queri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28" w:name="Xf8305bba2f44213b17de0dc1f6757168a9c0fd5"/>
    <w:p>
      <w:pPr>
        <w:pStyle w:val="Heading3"/>
      </w:pPr>
      <w:r>
        <w:t xml:space="preserve">16. Dashboards, by stakeholder</w:t>
      </w:r>
    </w:p>
    <w:p>
      <w:pPr>
        <w:pStyle w:val="FirstParagraph"/>
      </w:pPr>
      <w:r>
        <w:drawing>
          <wp:inline>
            <wp:extent cx="5334000" cy="3040519"/>
            <wp:effectExtent b="0" l="0" r="0" t="0"/>
            <wp:docPr descr="Figure 7" title="" id="99" name="Picture"/>
            <a:graphic>
              <a:graphicData uri="http://schemas.openxmlformats.org/drawingml/2006/picture">
                <pic:pic>
                  <pic:nvPicPr>
                    <pic:cNvPr descr="images/fig-rol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7 — who sees what, and at which scope.</w:t>
      </w:r>
    </w:p>
    <w:p>
      <w:pPr>
        <w:pStyle w:val="BodyText"/>
      </w:pPr>
      <w:r>
        <w:t xml:space="preserve">A role is not a filter on one screen. Each stakeholder gets a different composition at a</w:t>
      </w:r>
      <w:r>
        <w:t xml:space="preserve"> </w:t>
      </w:r>
      <w:r>
        <w:t xml:space="preserve">different scope, because the question each is asking is different.</w:t>
      </w:r>
    </w:p>
    <w:p>
      <w:pPr>
        <w:pStyle w:val="BodyText"/>
      </w:pPr>
      <w:r>
        <w:rPr>
          <w:b/>
          <w:bCs/>
        </w:rPr>
        <w:t xml:space="preserve">Policy maker — national scope.</w:t>
      </w:r>
      <w:r>
        <w:t xml:space="preserve"> </w:t>
      </w:r>
      <w:r>
        <w:t xml:space="preserve">Headline resistance, burden, coverage, trend.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Policy maker dashboard" title="" id="102" name="Picture"/>
            <a:graphic>
              <a:graphicData uri="http://schemas.openxmlformats.org/drawingml/2006/picture">
                <pic:pic>
                  <pic:nvPicPr>
                    <pic:cNvPr descr="images/portal-role-policy-make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advanced section opens the full resistance matrix and phenotype panels.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Advanced view" title="" id="105" name="Picture"/>
            <a:graphic>
              <a:graphicData uri="http://schemas.openxmlformats.org/drawingml/2006/picture">
                <pic:pic>
                  <pic:nvPicPr>
                    <pic:cNvPr descr="images/portal-role-policy-maker-advance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Epidemiologist — national scope with signals.</w:t>
      </w:r>
      <w:r>
        <w:t xml:space="preserve"> </w:t>
      </w:r>
      <w:r>
        <w:t xml:space="preserve">Priority-pathogen phenotypes (CRE, MDR),</w:t>
      </w:r>
      <w:r>
        <w:t xml:space="preserve"> </w:t>
      </w:r>
      <w:r>
        <w:t xml:space="preserve">anomaly signals and the outbreak console.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Epidemiologist dashboard" title="" id="108" name="Picture"/>
            <a:graphic>
              <a:graphicData uri="http://schemas.openxmlformats.org/drawingml/2006/picture">
                <pic:pic>
                  <pic:nvPicPr>
                    <pic:cNvPr descr="images/portal-role-epidemiologis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Researcher.</w:t>
      </w:r>
      <w:r>
        <w:t xml:space="preserve"> </w:t>
      </w:r>
      <w:r>
        <w:t xml:space="preserve">The epidemiology composition without the operational action queue.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Researcher dashboard" title="" id="111" name="Picture"/>
            <a:graphic>
              <a:graphicData uri="http://schemas.openxmlformats.org/drawingml/2006/picture">
                <pic:pic>
                  <pic:nvPicPr>
                    <pic:cNvPr descr="images/portal-role-researche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Public health expert — national scope.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Public health dashboard" title="" id="114" name="Picture"/>
            <a:graphic>
              <a:graphicData uri="http://schemas.openxmlformats.org/drawingml/2006/picture">
                <pic:pic>
                  <pic:nvPicPr>
                    <pic:cNvPr descr="images/portal-role-public-health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Administrative health officer — sub-national scope.</w:t>
      </w:r>
      <w:r>
        <w:t xml:space="preserve"> </w:t>
      </w:r>
      <w:r>
        <w:t xml:space="preserve">The same dashboard at whatever level</w:t>
      </w:r>
      <w:r>
        <w:t xml:space="preserve"> </w:t>
      </w:r>
      <w:r>
        <w:t xml:space="preserve">the viewer's own administrative unit sits, ranking one level down. A three-tier country needs</w:t>
      </w:r>
      <w:r>
        <w:t xml:space="preserve"> </w:t>
      </w:r>
      <w:r>
        <w:t xml:space="preserve">three</w:t>
      </w:r>
      <w:r>
        <w:t xml:space="preserve"> </w:t>
      </w:r>
      <w:r>
        <w:rPr>
          <w:i/>
          <w:iCs/>
        </w:rPr>
        <w:t xml:space="preserve">units</w:t>
      </w:r>
      <w:r>
        <w:t xml:space="preserve">, not three dashboards.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Administrative officer dashboard" title="" id="117" name="Picture"/>
            <a:graphic>
              <a:graphicData uri="http://schemas.openxmlformats.org/drawingml/2006/picture">
                <pic:pic>
                  <pic:nvPicPr>
                    <pic:cNvPr descr="images/portal-role-admin-officer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Hospital administrator — single-facility scope.</w:t>
      </w:r>
      <w:r>
        <w:t xml:space="preserve"> </w:t>
      </w:r>
      <w:r>
        <w:t xml:space="preserve">One facility's profile, benchmarked</w:t>
      </w:r>
      <w:r>
        <w:t xml:space="preserve"> </w:t>
      </w:r>
      <w:r>
        <w:t xml:space="preserve">against the national figure.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Hospital dashboard" title="" id="120" name="Picture"/>
            <a:graphic>
              <a:graphicData uri="http://schemas.openxmlformats.org/drawingml/2006/picture">
                <pic:pic>
                  <pic:nvPicPr>
                    <pic:cNvPr descr="images/portal-role-hospital-admin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Press and citizen.</w:t>
      </w:r>
      <w:r>
        <w:t xml:space="preserve"> </w:t>
      </w:r>
      <w:r>
        <w:t xml:space="preserve">The public summary only (§19).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Press view" title="" id="123" name="Picture"/>
            <a:graphic>
              <a:graphicData uri="http://schemas.openxmlformats.org/drawingml/2006/picture">
                <pic:pic>
                  <pic:nvPicPr>
                    <pic:cNvPr descr="images/portal-role-press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Refresh live</w:t>
      </w:r>
      <w:r>
        <w:t xml:space="preserve"> </w:t>
      </w:r>
      <w:r>
        <w:t xml:space="preserve">dispatches a fresh batch of queries to the in-scope sites, waits for the</w:t>
      </w:r>
      <w:r>
        <w:t xml:space="preserve"> </w:t>
      </w:r>
      <w:r>
        <w:t xml:space="preserve">answers, and recomputes the snapshots for that scope (Figure 3). Historical results are never</w:t>
      </w:r>
      <w:r>
        <w:t xml:space="preserve"> </w:t>
      </w:r>
      <w:r>
        <w:t xml:space="preserve">folded into a new refresh's numbers.</w:t>
      </w:r>
    </w:p>
    <w:p>
      <w:pPr>
        <w:pStyle w:val="BodyText"/>
      </w:pPr>
      <w:r>
        <w:drawing>
          <wp:inline>
            <wp:extent cx="5334000" cy="3148735"/>
            <wp:effectExtent b="0" l="0" r="0" t="0"/>
            <wp:docPr descr="Figure 3" title="" id="126" name="Picture"/>
            <a:graphic>
              <a:graphicData uri="http://schemas.openxmlformats.org/drawingml/2006/picture">
                <pic:pic>
                  <pic:nvPicPr>
                    <pic:cNvPr descr="images/fig-query-lifecycl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 — one dashboard refresh, end to end.</w:t>
      </w:r>
    </w:p>
    <w:bookmarkEnd w:id="128"/>
    <w:bookmarkStart w:id="132" w:name="X0506ad9e2f63c7f1c2a06999ebb9e2197dc6aa0"/>
    <w:p>
      <w:pPr>
        <w:pStyle w:val="Heading3"/>
      </w:pPr>
      <w:r>
        <w:t xml:space="preserve">17. The outbreak console</w:t>
      </w:r>
    </w:p>
    <w:p>
      <w:pPr>
        <w:pStyle w:val="FirstParagraph"/>
      </w:pPr>
      <w:r>
        <w:drawing>
          <wp:inline>
            <wp:extent cx="5334000" cy="3585633"/>
            <wp:effectExtent b="0" l="0" r="0" t="0"/>
            <wp:docPr descr="Outbreaks" title="" id="130" name="Picture"/>
            <a:graphic>
              <a:graphicData uri="http://schemas.openxmlformats.org/drawingml/2006/picture">
                <pic:pic>
                  <pic:nvPicPr>
                    <pic:cNvPr descr="images/portal-outbreak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console runs the space–time permutation scan (§26) over</w:t>
      </w:r>
      <w:r>
        <w:t xml:space="preserve"> </w:t>
      </w:r>
      <w:r>
        <w:rPr>
          <w:rStyle w:val="VerbatimChar"/>
        </w:rPr>
        <w:t xml:space="preserve">cluster_scan</w:t>
      </w:r>
      <w:r>
        <w:t xml:space="preserve"> </w:t>
      </w:r>
      <w:r>
        <w:t xml:space="preserve">aggregates and</w:t>
      </w:r>
      <w:r>
        <w:t xml:space="preserve"> </w:t>
      </w:r>
      <w:r>
        <w:t xml:space="preserve">lists clusters with their window, sites, observed and expected counts, p-value and recurrence</w:t>
      </w:r>
      <w:r>
        <w:t xml:space="preserve"> </w:t>
      </w:r>
      <w:r>
        <w:t xml:space="preserve">interval. Settings — baseline, maximum cluster length, minimum cases, permutations — are on</w:t>
      </w:r>
      <w:r>
        <w:t xml:space="preserve"> </w:t>
      </w:r>
      <w:r>
        <w:t xml:space="preserve">the screen, because a signal without its parameters is not interpretable.</w:t>
      </w:r>
    </w:p>
    <w:bookmarkEnd w:id="132"/>
    <w:bookmarkStart w:id="139" w:name="X4ce1aacb9f74f2e32f03ae9bf68187cb80fc0c8"/>
    <w:p>
      <w:pPr>
        <w:pStyle w:val="Heading3"/>
      </w:pPr>
      <w:r>
        <w:t xml:space="preserve">18. From a signal to an action plan</w:t>
      </w:r>
    </w:p>
    <w:p>
      <w:pPr>
        <w:pStyle w:val="FirstParagraph"/>
      </w:pPr>
      <w:r>
        <w:t xml:space="preserve">Threshold rules turn a metric crossing into a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action plan — never an automatic</w:t>
      </w:r>
      <w:r>
        <w:t xml:space="preserve"> </w:t>
      </w:r>
      <w:r>
        <w:t xml:space="preserve">instruction. A person edits, assigns and schedules it; tracking records what was done.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Action inbox" title="" id="134" name="Picture"/>
            <a:graphic>
              <a:graphicData uri="http://schemas.openxmlformats.org/drawingml/2006/picture">
                <pic:pic>
                  <pic:nvPicPr>
                    <pic:cNvPr descr="images/portal-action-inbox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85633"/>
            <wp:effectExtent b="0" l="0" r="0" t="0"/>
            <wp:docPr descr="Action tracking" title="" id="137" name="Picture"/>
            <a:graphic>
              <a:graphicData uri="http://schemas.openxmlformats.org/drawingml/2006/picture">
                <pic:pic>
                  <pic:nvPicPr>
                    <pic:cNvPr descr="images/portal-action-tracking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3" w:name="Xedde1045d515f487e891251ae79f312a7e31d94"/>
    <w:p>
      <w:pPr>
        <w:pStyle w:val="Heading3"/>
      </w:pPr>
      <w:r>
        <w:t xml:space="preserve">19. The public view</w:t>
      </w:r>
    </w:p>
    <w:p>
      <w:pPr>
        <w:pStyle w:val="FirstParagraph"/>
      </w:pPr>
      <w:r>
        <w:t xml:space="preserve">A deliberately reduced summary for press and citizens: national headline figures, no</w:t>
      </w:r>
      <w:r>
        <w:t xml:space="preserve"> </w:t>
      </w:r>
      <w:r>
        <w:t xml:space="preserve">site-level detail, everything already suppressed below the k-anonymity floor.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Public view" title="" id="141" name="Picture"/>
            <a:graphic>
              <a:graphicData uri="http://schemas.openxmlformats.org/drawingml/2006/picture">
                <pic:pic>
                  <pic:nvPicPr>
                    <pic:cNvPr descr="images/portal-publi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50" w:name="Xc479bd64ffeecd0053dc2187b27885668c043d2"/>
    <w:p>
      <w:pPr>
        <w:pStyle w:val="Heading3"/>
      </w:pPr>
      <w:r>
        <w:t xml:space="preserve">20. Audit and governance</w:t>
      </w:r>
    </w:p>
    <w:p>
      <w:pPr>
        <w:pStyle w:val="FirstParagraph"/>
      </w:pPr>
      <w:r>
        <w:drawing>
          <wp:inline>
            <wp:extent cx="5334000" cy="3585633"/>
            <wp:effectExtent b="0" l="0" r="0" t="0"/>
            <wp:docPr descr="Audit" title="" id="145" name="Picture"/>
            <a:graphic>
              <a:graphicData uri="http://schemas.openxmlformats.org/drawingml/2006/picture">
                <pic:pic>
                  <pic:nvPicPr>
                    <pic:cNvPr descr="images/portal-audit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dispatch, answer, approval, token reset, rename and deletion is recorded with actor,</w:t>
      </w:r>
      <w:r>
        <w:t xml:space="preserve"> </w:t>
      </w:r>
      <w:r>
        <w:t xml:space="preserve">time and detail.</w:t>
      </w:r>
      <w:r>
        <w:t xml:space="preserve"> </w:t>
      </w:r>
      <w:r>
        <w:rPr>
          <w:b/>
          <w:bCs/>
        </w:rPr>
        <w:t xml:space="preserve">Licences</w:t>
      </w:r>
      <w:r>
        <w:t xml:space="preserve"> </w:t>
      </w:r>
      <w:r>
        <w:t xml:space="preserve">lists every bundled dataset and its terms.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Licences" title="" id="148" name="Picture"/>
            <a:graphic>
              <a:graphicData uri="http://schemas.openxmlformats.org/drawingml/2006/picture">
                <pic:pic>
                  <pic:nvPicPr>
                    <pic:cNvPr descr="images/portal-licences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60" w:name="X1f2f628c0aa61975b95a8ca26ee09a231e4311e"/>
    <w:p>
      <w:pPr>
        <w:pStyle w:val="Heading3"/>
      </w:pPr>
      <w:r>
        <w:t xml:space="preserve">21. Portal administration</w:t>
      </w:r>
    </w:p>
    <w:p>
      <w:pPr>
        <w:pStyle w:val="FirstParagraph"/>
      </w:pPr>
      <w:r>
        <w:drawing>
          <wp:inline>
            <wp:extent cx="5334000" cy="3585633"/>
            <wp:effectExtent b="0" l="0" r="0" t="0"/>
            <wp:docPr descr="Portal admin" title="" id="152" name="Picture"/>
            <a:graphic>
              <a:graphicData uri="http://schemas.openxmlformats.org/drawingml/2006/picture">
                <pic:pic>
                  <pic:nvPicPr>
                    <pic:cNvPr descr="images/portal-admin-hom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Users and roles are managed in the portal itself. A role is a set of capabilities plus a</w:t>
      </w:r>
      <w:r>
        <w:t xml:space="preserve"> </w:t>
      </w:r>
      <w:r>
        <w:t xml:space="preserve">dashboard kind plus a scope; a deployment can rename roles and change what each may see</w:t>
      </w:r>
      <w:r>
        <w:t xml:space="preserve"> </w:t>
      </w:r>
      <w:r>
        <w:t xml:space="preserve">without a code change.</w:t>
      </w:r>
    </w:p>
    <w:p>
      <w:pPr>
        <w:pStyle w:val="BodyText"/>
      </w:pPr>
      <w:r>
        <w:drawing>
          <wp:inline>
            <wp:extent cx="5334000" cy="3585633"/>
            <wp:effectExtent b="0" l="0" r="0" t="0"/>
            <wp:docPr descr="Users" title="" id="155" name="Picture"/>
            <a:graphic>
              <a:graphicData uri="http://schemas.openxmlformats.org/drawingml/2006/picture">
                <pic:pic>
                  <pic:nvPicPr>
                    <pic:cNvPr descr="images/portal-admin-users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85633"/>
            <wp:effectExtent b="0" l="0" r="0" t="0"/>
            <wp:docPr descr="Roles" title="" id="158" name="Picture"/>
            <a:graphic>
              <a:graphicData uri="http://schemas.openxmlformats.org/drawingml/2006/picture">
                <pic:pic>
                  <pic:nvPicPr>
                    <pic:cNvPr descr="images/portal-admin-roles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7" w:name="part-iii--methods-and-rationale"/>
    <w:p>
      <w:pPr>
        <w:pStyle w:val="Heading2"/>
      </w:pPr>
      <w:r>
        <w:t xml:space="preserve">Part III — Methods and rationale</w:t>
      </w:r>
    </w:p>
    <w:p>
      <w:pPr>
        <w:pStyle w:val="FirstParagraph"/>
      </w:pPr>
      <w:r>
        <w:t xml:space="preserve">This part states, for each analytical choice: what the method is, what the alternatives were,</w:t>
      </w:r>
      <w:r>
        <w:t xml:space="preserve"> </w:t>
      </w:r>
      <w:r>
        <w:t xml:space="preserve">and why this one was taken. It is the material a paper would cite.</w:t>
      </w:r>
    </w:p>
    <w:bookmarkStart w:id="162" w:name="Xf51ad84d33ffb168737039f8baf3d17844bd410"/>
    <w:p>
      <w:pPr>
        <w:pStyle w:val="Heading3"/>
      </w:pPr>
      <w:r>
        <w:t xml:space="preserve">22. Data model and standards</w:t>
      </w:r>
    </w:p>
    <w:p>
      <w:pPr>
        <w:pStyle w:val="FirstParagraph"/>
      </w:pPr>
      <w:r>
        <w:t xml:space="preserve">Records are stored in the WHONET code space (organism, antimicrobial and specimen codes) so</w:t>
      </w:r>
      <w:r>
        <w:t xml:space="preserve"> </w:t>
      </w:r>
      <w:r>
        <w:t xml:space="preserve">data is exchangeable with the GLASS ecosystem without a mapping step. Interoperable output is</w:t>
      </w:r>
      <w:r>
        <w:t xml:space="preserve"> </w:t>
      </w:r>
      <w:r>
        <w:t xml:space="preserve">produced on demand: FHIR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for results,</w:t>
      </w:r>
      <w:r>
        <w:t xml:space="preserve"> </w:t>
      </w:r>
      <w:r>
        <w:rPr>
          <w:rStyle w:val="VerbatimChar"/>
        </w:rPr>
        <w:t xml:space="preserve">MeasureReport</w:t>
      </w:r>
      <w:r>
        <w:t xml:space="preserve"> </w:t>
      </w:r>
      <w:r>
        <w:t xml:space="preserve">for aggregates, HL7 v2 for</w:t>
      </w:r>
      <w:r>
        <w:t xml:space="preserve"> </w:t>
      </w:r>
      <w:r>
        <w:t xml:space="preserve">hospital systems. Organism concepts carry SNOMED CT codes and antimicrobials carry ATC and</w:t>
      </w:r>
      <w:r>
        <w:t xml:space="preserve"> </w:t>
      </w:r>
      <w:r>
        <w:t xml:space="preserve">WHO AWaRe classification, so an indicator can be defined in terms a programme already uses.</w:t>
      </w:r>
    </w:p>
    <w:p>
      <w:pPr>
        <w:pStyle w:val="BodyText"/>
      </w:pPr>
      <w:r>
        <w:rPr>
          <w:i/>
          <w:iCs/>
        </w:rPr>
        <w:t xml:space="preserve">Why not a bespoke schema?</w:t>
      </w:r>
      <w:r>
        <w:t xml:space="preserve"> </w:t>
      </w:r>
      <w:r>
        <w:t xml:space="preserve">Because the value of an AMR record is comparability. A national</w:t>
      </w:r>
      <w:r>
        <w:t xml:space="preserve"> </w:t>
      </w:r>
      <w:r>
        <w:t xml:space="preserve">system whose codes are its own becomes an island, and the mapping cost is paid later, by</w:t>
      </w:r>
      <w:r>
        <w:t xml:space="preserve"> </w:t>
      </w:r>
      <w:r>
        <w:t xml:space="preserve">somebody with less context.</w:t>
      </w:r>
    </w:p>
    <w:bookmarkEnd w:id="162"/>
    <w:bookmarkStart w:id="166" w:name="Xacadb8c85412b9068d10f99131f9789149f14ba"/>
    <w:p>
      <w:pPr>
        <w:pStyle w:val="Heading3"/>
      </w:pPr>
      <w:r>
        <w:t xml:space="preserve">23. Breakpoint interpretation</w:t>
      </w:r>
    </w:p>
    <w:p>
      <w:pPr>
        <w:pStyle w:val="FirstParagraph"/>
      </w:pPr>
      <w:r>
        <w:drawing>
          <wp:inline>
            <wp:extent cx="5334000" cy="3040519"/>
            <wp:effectExtent b="0" l="0" r="0" t="0"/>
            <wp:docPr descr="Figure 5" title="" id="164" name="Picture"/>
            <a:graphic>
              <a:graphicData uri="http://schemas.openxmlformats.org/drawingml/2006/picture">
                <pic:pic>
                  <pic:nvPicPr>
                    <pic:cNvPr descr="images/fig-breakpoints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5 — from a published table to an interpreted result.</w:t>
      </w:r>
    </w:p>
    <w:p>
      <w:pPr>
        <w:pStyle w:val="BodyText"/>
      </w:pPr>
      <w:r>
        <w:t xml:space="preserve">Its properties: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Guidelines are versioned data.</w:t>
      </w:r>
      <w:r>
        <w:t xml:space="preserve"> </w:t>
      </w:r>
      <w:r>
        <w:t xml:space="preserve">A staged set carries its source hash, edition, row</w:t>
      </w:r>
      <w:r>
        <w:t xml:space="preserve"> </w:t>
      </w:r>
      <w:r>
        <w:t xml:space="preserve">provenance and import report, so a result interpreted in 2026 can be re-read in 2030 against</w:t>
      </w:r>
      <w:r>
        <w:t xml:space="preserve"> </w:t>
      </w:r>
      <w:r>
        <w:t xml:space="preserve">the table that actually produced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Organism scopes are membership rules</w:t>
      </w:r>
      <w:r>
        <w:t xml:space="preserve">, not expanded species lists. EUCAST writes</w:t>
      </w:r>
      <w:r>
        <w:t xml:space="preserve"> </w:t>
      </w:r>
      <w:r>
        <w:t xml:space="preserve">"Enterobacterales", "Coagulase-negative staphylococci", "Enterobacterales except</w:t>
      </w:r>
      <w:r>
        <w:t xml:space="preserve"> </w:t>
      </w:r>
      <w:r>
        <w:t xml:space="preserve">Morganellaceae"; those are stored as predicates over the organism catalogue's taxonomy. A</w:t>
      </w:r>
      <w:r>
        <w:t xml:space="preserve"> </w:t>
      </w:r>
      <w:r>
        <w:t xml:space="preserve">species-specific row always beats a group row for the same organism.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Refusal over guessing.</w:t>
      </w:r>
      <w:r>
        <w:t xml:space="preserve"> </w:t>
      </w:r>
      <w:r>
        <w:t xml:space="preserve">Conflicting equally specific rows, a route the record does not</w:t>
      </w:r>
      <w:r>
        <w:t xml:space="preserve"> </w:t>
      </w:r>
      <w:r>
        <w:t xml:space="preserve">state, or a missing matching row all produce a blank result with a stated reason.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Activation is a human act.</w:t>
      </w:r>
      <w:r>
        <w:t xml:space="preserve"> </w:t>
      </w:r>
      <w:r>
        <w:t xml:space="preserve">A set with unmatched rows cannot be activated at all.</w:t>
      </w:r>
    </w:p>
    <w:p>
      <w:pPr>
        <w:pStyle w:val="FirstParagraph"/>
      </w:pPr>
      <w:r>
        <w:rPr>
          <w:i/>
          <w:iCs/>
        </w:rPr>
        <w:t xml:space="preserve">Alternatives considered.</w:t>
      </w:r>
      <w:r>
        <w:t xml:space="preserve"> </w:t>
      </w:r>
      <w:r>
        <w:t xml:space="preserve">Compiling breakpoints into the application makes every guideline</w:t>
      </w:r>
      <w:r>
        <w:t xml:space="preserve"> </w:t>
      </w:r>
      <w:r>
        <w:t xml:space="preserve">revision a software release, which no laboratory can wait for. Accepting a spreadsheet without</w:t>
      </w:r>
      <w:r>
        <w:t xml:space="preserve"> </w:t>
      </w:r>
      <w:r>
        <w:t xml:space="preserve">provenance makes a result unauditable. The staging-plus-activation design is the middle path:</w:t>
      </w:r>
      <w:r>
        <w:t xml:space="preserve"> </w:t>
      </w:r>
      <w:r>
        <w:t xml:space="preserve">data-driven, but never live until somebody takes responsibility for it.</w:t>
      </w:r>
    </w:p>
    <w:bookmarkEnd w:id="166"/>
    <w:bookmarkStart w:id="167" w:name="Xb81b32ea4dd4893f0b4910762b6cd5d91dce2cd"/>
    <w:p>
      <w:pPr>
        <w:pStyle w:val="Heading3"/>
      </w:pPr>
      <w:r>
        <w:t xml:space="preserve">24. Deduplication</w:t>
      </w:r>
    </w:p>
    <w:p>
      <w:pPr>
        <w:pStyle w:val="FirstParagraph"/>
      </w:pPr>
      <w:r>
        <w:t xml:space="preserve">Two modes, chosen per analysis and always shown with the result: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firstPatientOrganism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first isolate per patient per organism</w:t>
      </w:r>
      <w:r>
        <w:t xml:space="preserve"> </w:t>
      </w:r>
      <w:r>
        <w:t xml:space="preserve">within the window. This</w:t>
      </w:r>
      <w:r>
        <w:t xml:space="preserve"> </w:t>
      </w:r>
      <w:r>
        <w:t xml:space="preserve">is the CLSI M39 / WHO GLASS convention.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allIsolates</w:t>
      </w:r>
      <w:r>
        <w:t xml:space="preserve"> </w:t>
      </w:r>
      <w:r>
        <w:t xml:space="preserve">— every isolate, for laboratory workload and quality questions.</w:t>
      </w:r>
    </w:p>
    <w:p>
      <w:pPr>
        <w:pStyle w:val="FirstParagraph"/>
      </w:pPr>
      <w:r>
        <w:rPr>
          <w:i/>
          <w:iCs/>
        </w:rPr>
        <w:t xml:space="preserve">Why first-isolate is the default.</w:t>
      </w:r>
      <w:r>
        <w:t xml:space="preserve"> </w:t>
      </w:r>
      <w:r>
        <w:t xml:space="preserve">Repeat isolates from the same patient are not independent</w:t>
      </w:r>
      <w:r>
        <w:t xml:space="preserve"> </w:t>
      </w:r>
      <w:r>
        <w:t xml:space="preserve">observations: a single long ICU admission with daily cultures can contribute dozens of</w:t>
      </w:r>
      <w:r>
        <w:t xml:space="preserve"> </w:t>
      </w:r>
      <w:r>
        <w:t xml:space="preserve">resistant isolates and shift a national rate on its own. Reporting resistance without</w:t>
      </w:r>
      <w:r>
        <w:t xml:space="preserve"> </w:t>
      </w:r>
      <w:r>
        <w:t xml:space="preserve">deduplication systematically overestimates it in exactly the settings where the sickest</w:t>
      </w:r>
      <w:r>
        <w:t xml:space="preserve"> </w:t>
      </w:r>
      <w:r>
        <w:t xml:space="preserve">patients are — which is where policy attention lands.</w:t>
      </w:r>
    </w:p>
    <w:p>
      <w:pPr>
        <w:pStyle w:val="BodyText"/>
      </w:pPr>
      <w:r>
        <w:rPr>
          <w:i/>
          <w:iCs/>
        </w:rPr>
        <w:t xml:space="preserve">Why the alternative is kept.</w:t>
      </w:r>
      <w:r>
        <w:t xml:space="preserve"> </w:t>
      </w:r>
      <w:r>
        <w:t xml:space="preserve">A laboratory asking "how much work did we do?" or "how complete</w:t>
      </w:r>
      <w:r>
        <w:t xml:space="preserve"> </w:t>
      </w:r>
      <w:r>
        <w:t xml:space="preserve">is our AST?" needs every isolate. The mode is therefore a parameter of the question, not a</w:t>
      </w:r>
      <w:r>
        <w:t xml:space="preserve"> </w:t>
      </w:r>
      <w:r>
        <w:t xml:space="preserve">global setting.</w:t>
      </w:r>
    </w:p>
    <w:bookmarkEnd w:id="167"/>
    <w:bookmarkStart w:id="168" w:name="X6074107747678062e23c10ab82a2436deb1bd7f"/>
    <w:p>
      <w:pPr>
        <w:pStyle w:val="Heading3"/>
      </w:pPr>
      <w:r>
        <w:t xml:space="preserve">25. Indicators</w:t>
      </w:r>
    </w:p>
    <w:p>
      <w:pPr>
        <w:pStyle w:val="FirstParagraph"/>
      </w:pPr>
      <w:r>
        <w:t xml:space="preserve">The priority indicators follow WHO GLASS pathogen–antimicrobial combinations: MRSA;</w:t>
      </w:r>
      <w:r>
        <w:t xml:space="preserve"> </w:t>
      </w:r>
      <w:r>
        <w:t xml:space="preserve">vancomycin-non-susceptible enterococci; third-generation-cephalosporin-non-susceptible</w:t>
      </w:r>
      <w:r>
        <w:t xml:space="preserve"> </w:t>
      </w:r>
      <w:r>
        <w:rPr>
          <w:i/>
          <w:iCs/>
        </w:rPr>
        <w:t xml:space="preserve">E.</w:t>
      </w:r>
      <w:r>
        <w:rPr>
          <w:i/>
          <w:iCs/>
        </w:rPr>
        <w:t xml:space="preserve"> </w:t>
      </w:r>
      <w:r>
        <w:rPr>
          <w:i/>
          <w:iCs/>
        </w:rPr>
        <w:t xml:space="preserve">coli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K. pneumoniae</w:t>
      </w:r>
      <w:r>
        <w:t xml:space="preserve">; carbapenem-non-susceptible Enterobacterales,</w:t>
      </w:r>
      <w:r>
        <w:t xml:space="preserve"> </w:t>
      </w:r>
      <w:r>
        <w:rPr>
          <w:i/>
          <w:iCs/>
        </w:rPr>
        <w:t xml:space="preserve">P. aeruginosa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Acinetobacter</w:t>
      </w:r>
      <w:r>
        <w:t xml:space="preserve"> </w:t>
      </w:r>
      <w:r>
        <w:t xml:space="preserve">spp.; fluoroquinolone-resistant</w:t>
      </w:r>
      <w:r>
        <w:t xml:space="preserve"> </w:t>
      </w:r>
      <w:r>
        <w:rPr>
          <w:i/>
          <w:iCs/>
        </w:rPr>
        <w:t xml:space="preserve">E. coli</w:t>
      </w:r>
      <w:r>
        <w:t xml:space="preserve">; penicillin-non-susceptible</w:t>
      </w:r>
      <w:r>
        <w:t xml:space="preserve"> </w:t>
      </w:r>
      <w:r>
        <w:rPr>
          <w:i/>
          <w:iCs/>
        </w:rPr>
        <w:t xml:space="preserve">S.</w:t>
      </w:r>
      <w:r>
        <w:rPr>
          <w:i/>
          <w:iCs/>
        </w:rPr>
        <w:t xml:space="preserve"> </w:t>
      </w:r>
      <w:r>
        <w:rPr>
          <w:i/>
          <w:iCs/>
        </w:rPr>
        <w:t xml:space="preserve">pneumoniae</w:t>
      </w:r>
      <w:r>
        <w:t xml:space="preserve">.</w:t>
      </w:r>
    </w:p>
    <w:p>
      <w:pPr>
        <w:pStyle w:val="BodyText"/>
      </w:pPr>
      <w:r>
        <w:t xml:space="preserve">Each is a numerator and a denominator, both reported. Non-susceptible (R + I) is used where</w:t>
      </w:r>
      <w:r>
        <w:t xml:space="preserve"> </w:t>
      </w:r>
      <w:r>
        <w:t xml:space="preserve">GLASS uses it, and the tested-with agent set is stated, because "carbapenem resistance"</w:t>
      </w:r>
      <w:r>
        <w:t xml:space="preserve"> </w:t>
      </w:r>
      <w:r>
        <w:t xml:space="preserve">computed over meropenem alone and over meropenem-or-imipenem-or-ertapenem are different</w:t>
      </w:r>
      <w:r>
        <w:t xml:space="preserve"> </w:t>
      </w:r>
      <w:r>
        <w:t xml:space="preserve">numbers and only one of them matches the neighbouring country's.</w:t>
      </w:r>
    </w:p>
    <w:bookmarkEnd w:id="168"/>
    <w:bookmarkStart w:id="172" w:name="Xcc3e704b3c93b9378c6689c8f88f4b3321651e9"/>
    <w:p>
      <w:pPr>
        <w:pStyle w:val="Heading3"/>
      </w:pPr>
      <w:r>
        <w:t xml:space="preserve">26. Outbreak detection</w:t>
      </w:r>
    </w:p>
    <w:p>
      <w:pPr>
        <w:pStyle w:val="FirstParagraph"/>
      </w:pPr>
      <w:r>
        <w:rPr>
          <w:b/>
          <w:bCs/>
        </w:rPr>
        <w:t xml:space="preserve">Method: Kulldorff's space–time permutation scan statistic</w:t>
      </w:r>
      <w:r>
        <w:t xml:space="preserve">, case-only, prospective by</w:t>
      </w:r>
      <w:r>
        <w:t xml:space="preserve"> </w:t>
      </w:r>
      <w:r>
        <w:t xml:space="preserve">default.</w:t>
      </w:r>
    </w:p>
    <w:p>
      <w:pPr>
        <w:pStyle w:val="BodyText"/>
      </w:pPr>
      <w:r>
        <w:drawing>
          <wp:inline>
            <wp:extent cx="5334000" cy="3256951"/>
            <wp:effectExtent b="0" l="0" r="0" t="0"/>
            <wp:docPr descr="Figure 4" title="" id="170" name="Picture"/>
            <a:graphic>
              <a:graphicData uri="http://schemas.openxmlformats.org/drawingml/2006/picture">
                <pic:pic>
                  <pic:nvPicPr>
                    <pic:cNvPr descr="images/fig-outbreak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4 — the scan pipeline and the alternatives it was chosen over.</w:t>
      </w:r>
    </w:p>
    <w:p>
      <w:pPr>
        <w:pStyle w:val="BodyText"/>
      </w:pPr>
      <w:r>
        <w:t xml:space="preserve">For each candidate cluster — a site (or set of sites) and a time window up to</w:t>
      </w:r>
      <w:r>
        <w:t xml:space="preserve"> </w:t>
      </w:r>
      <w:r>
        <w:rPr>
          <w:rStyle w:val="VerbatimChar"/>
        </w:rPr>
        <w:t xml:space="preserve">max_cluster_days</w:t>
      </w:r>
      <w:r>
        <w:t xml:space="preserve"> </w:t>
      </w:r>
      <w:r>
        <w:t xml:space="preserve">— the expected count is the product of that location's total and that</w:t>
      </w:r>
      <w:r>
        <w:t xml:space="preserve"> </w:t>
      </w:r>
      <w:r>
        <w:t xml:space="preserve">period's total divided by the grand total. The test statistic is the generalised likelihood</w:t>
      </w:r>
      <w:r>
        <w:t xml:space="preserve"> </w:t>
      </w:r>
      <w:r>
        <w:t xml:space="preserve">ratio, and significance comes from Monte-Carlo permutation of dates within the observed grid</w:t>
      </w:r>
      <w:r>
        <w:t xml:space="preserve"> </w:t>
      </w:r>
      <w:r>
        <w:t xml:space="preserve">(999 by default), so the multiple-testing burden of scanning thousands of windows is handled</w:t>
      </w:r>
      <w:r>
        <w:t xml:space="preserve"> </w:t>
      </w:r>
      <w:r>
        <w:t xml:space="preserve">by the distribution of the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statistic rather than by a correction applied afterwards.</w:t>
      </w:r>
      <w:r>
        <w:t xml:space="preserve"> </w:t>
      </w:r>
      <w:r>
        <w:t xml:space="preserve">Output includes the recurrence interval (1/p), which is what an operational programme can act</w:t>
      </w:r>
      <w:r>
        <w:t xml:space="preserve"> </w:t>
      </w:r>
      <w:r>
        <w:t xml:space="preserve">on: "a cluster this extreme would be seen by chance about once every N days".</w:t>
      </w:r>
    </w:p>
    <w:p>
      <w:pPr>
        <w:pStyle w:val="BodyText"/>
      </w:pPr>
      <w:r>
        <w:rPr>
          <w:i/>
          <w:iCs/>
        </w:rPr>
        <w:t xml:space="preserve">Why case-only.</w:t>
      </w:r>
      <w:r>
        <w:t xml:space="preserve"> </w:t>
      </w:r>
      <w:r>
        <w:t xml:space="preserve">The Poisson and Bernoulli scan statistics need a population at risk per</w:t>
      </w:r>
      <w:r>
        <w:t xml:space="preserve"> </w:t>
      </w:r>
      <w:r>
        <w:t xml:space="preserve">location. A national AMR programme does not have one: it has isolates from laboratories with</w:t>
      </w:r>
      <w:r>
        <w:t xml:space="preserve"> </w:t>
      </w:r>
      <w:r>
        <w:t xml:space="preserve">different catchments, different testing rates and different referral patterns. Conditioning on</w:t>
      </w:r>
      <w:r>
        <w:t xml:space="preserve"> </w:t>
      </w:r>
      <w:r>
        <w:t xml:space="preserve">both margins removes exactly that — a site that reports twice as much of everything</w:t>
      </w:r>
      <w:r>
        <w:t xml:space="preserve"> </w:t>
      </w:r>
      <w:r>
        <w:t xml:space="preserve">contributes no signal, which is the property that makes the method usable across</w:t>
      </w:r>
      <w:r>
        <w:t xml:space="preserve"> </w:t>
      </w:r>
      <w:r>
        <w:t xml:space="preserve">heterogeneous reporting.</w:t>
      </w:r>
    </w:p>
    <w:p>
      <w:pPr>
        <w:pStyle w:val="BodyText"/>
      </w:pPr>
      <w:r>
        <w:rPr>
          <w:i/>
          <w:iCs/>
        </w:rPr>
        <w:t xml:space="preserve">Why not the alternatives.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rule ("3 cases in 7 days")</w:t>
            </w:r>
          </w:p>
        </w:tc>
        <w:tc>
          <w:tcPr/>
          <w:p>
            <w:pPr>
              <w:pStyle w:val="Compact"/>
            </w:pPr>
            <w:r>
              <w:t xml:space="preserve">Transparent but scale-blind: floods large sites, silent at small 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EWMA / CUSUM per series</w:t>
            </w:r>
          </w:p>
        </w:tc>
        <w:tc>
          <w:tcPr/>
          <w:p>
            <w:pPr>
              <w:pStyle w:val="Compact"/>
            </w:pPr>
            <w:r>
              <w:t xml:space="preserve">Detects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but not</w:t>
            </w:r>
            <w:r>
              <w:t xml:space="preserve"> </w:t>
            </w:r>
            <w:r>
              <w:rPr>
                <w:i/>
                <w:iCs/>
              </w:rPr>
              <w:t xml:space="preserve">where</w:t>
            </w:r>
            <w:r>
              <w:t xml:space="preserve">; needs a stable per-site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Poisson / Bernoulli spatial scan</w:t>
            </w:r>
          </w:p>
        </w:tc>
        <w:tc>
          <w:tcPr/>
          <w:p>
            <w:pPr>
              <w:pStyle w:val="Compact"/>
            </w:pPr>
            <w:r>
              <w:t xml:space="preserve">Needs a denominator population AMRIT does not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Unsupervised clustering</w:t>
            </w:r>
          </w:p>
        </w:tc>
        <w:tc>
          <w:tcPr/>
          <w:p>
            <w:pPr>
              <w:pStyle w:val="Compact"/>
            </w:pPr>
            <w:r>
              <w:t xml:space="preserve">No inferential statement; a cluster is always found</w:t>
            </w:r>
          </w:p>
        </w:tc>
      </w:tr>
    </w:tbl>
    <w:p>
      <w:pPr>
        <w:pStyle w:val="BodyText"/>
      </w:pPr>
      <w:r>
        <w:rPr>
          <w:i/>
          <w:iCs/>
        </w:rPr>
        <w:t xml:space="preserve">Limitations, stated.</w:t>
      </w:r>
      <w:r>
        <w:t xml:space="preserve"> </w:t>
      </w:r>
      <w:r>
        <w:t xml:space="preserve">The scan detects excess relative to the rest of the observed data, so a</w:t>
      </w:r>
      <w:r>
        <w:t xml:space="preserve"> </w:t>
      </w:r>
      <w:r>
        <w:t xml:space="preserve">uniform national rise is invisible to it — that is what the trend metrics are for. It is</w:t>
      </w:r>
      <w:r>
        <w:t xml:space="preserve"> </w:t>
      </w:r>
      <w:r>
        <w:t xml:space="preserve">sensitive to</w:t>
      </w:r>
      <w:r>
        <w:t xml:space="preserve"> </w:t>
      </w:r>
      <w:r>
        <w:rPr>
          <w:rStyle w:val="VerbatimChar"/>
        </w:rPr>
        <w:t xml:space="preserve">baseline_days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max_cluster_days</w:t>
      </w:r>
      <w:r>
        <w:t xml:space="preserve">, so both travel with every signal. And it</w:t>
      </w:r>
      <w:r>
        <w:t xml:space="preserve"> </w:t>
      </w:r>
      <w:r>
        <w:t xml:space="preserve">operates on aggregate counts, so it can point a programme at a place and a period, never at a</w:t>
      </w:r>
      <w:r>
        <w:t xml:space="preserve"> </w:t>
      </w:r>
      <w:r>
        <w:t xml:space="preserve">patient.</w:t>
      </w:r>
    </w:p>
    <w:bookmarkEnd w:id="172"/>
    <w:bookmarkStart w:id="173" w:name="X3a980bba7efab2226f966d8ec7e10396c893492"/>
    <w:p>
      <w:pPr>
        <w:pStyle w:val="Heading3"/>
      </w:pPr>
      <w:r>
        <w:t xml:space="preserve">27. Privacy engineering</w:t>
      </w:r>
    </w:p>
    <w:p>
      <w:pPr>
        <w:pStyle w:val="FirstParagraph"/>
      </w:pPr>
      <w:r>
        <w:t xml:space="preserve">Four mechanisms, layered: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Aggregate-only federation.</w:t>
      </w:r>
      <w:r>
        <w:t xml:space="preserve"> </w:t>
      </w:r>
      <w:r>
        <w:t xml:space="preserve">The wire contract carries counts and rates. A middleware</w:t>
      </w:r>
      <w:r>
        <w:t xml:space="preserve"> </w:t>
      </w:r>
      <w:r>
        <w:t xml:space="preserve">guard rejects any response payload carrying patient identifiers, so a bug in a laboratory</w:t>
      </w:r>
      <w:r>
        <w:t xml:space="preserve"> </w:t>
      </w:r>
      <w:r>
        <w:t xml:space="preserve">build cannot become a national disclosure.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k-anonymity floor.</w:t>
      </w:r>
      <w:r>
        <w:t xml:space="preserve"> </w:t>
      </w:r>
      <w:r>
        <w:t xml:space="preserve">Cells below</w:t>
      </w:r>
      <w:r>
        <w:t xml:space="preserve"> </w:t>
      </w:r>
      <w:r>
        <w:rPr>
          <w:rStyle w:val="VerbatimChar"/>
        </w:rPr>
        <w:t xml:space="preserve">AMRIT_K_ANONYMITY_FLOOR</w:t>
      </w:r>
      <w:r>
        <w:t xml:space="preserve"> </w:t>
      </w:r>
      <w:r>
        <w:t xml:space="preserve">(default 5) are suppressed</w:t>
      </w:r>
      <w:r>
        <w:t xml:space="preserve"> </w:t>
      </w:r>
      <w:r>
        <w:t xml:space="preserve">before storage, not before display — a suppressed number is never written down.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Coarsening.</w:t>
      </w:r>
      <w:r>
        <w:t xml:space="preserve"> </w:t>
      </w:r>
      <w:r>
        <w:t xml:space="preserve">Patient residence is stored to a coarsened postal geography; facility</w:t>
      </w:r>
      <w:r>
        <w:t xml:space="preserve"> </w:t>
      </w:r>
      <w:r>
        <w:t xml:space="preserve">coordinates are site-level and consent-gated. Patient coordinates do not exist.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Retention and erasure.</w:t>
      </w:r>
      <w:r>
        <w:t xml:space="preserve"> </w:t>
      </w:r>
      <w:r>
        <w:t xml:space="preserve">Row-level data expires on the profile's schedule; a subject's</w:t>
      </w:r>
      <w:r>
        <w:t xml:space="preserve"> </w:t>
      </w:r>
      <w:r>
        <w:t xml:space="preserve">rows can be erased on request, and the erasure is itself auditable.</w:t>
      </w:r>
    </w:p>
    <w:p>
      <w:pPr>
        <w:pStyle w:val="FirstParagraph"/>
      </w:pPr>
      <w:r>
        <w:rPr>
          <w:i/>
          <w:iCs/>
        </w:rPr>
        <w:t xml:space="preserve">Why not de-identified record sharing?</w:t>
      </w:r>
      <w:r>
        <w:t xml:space="preserve"> </w:t>
      </w:r>
      <w:r>
        <w:t xml:space="preserve">Because de-identified AMR records are re-identifiable</w:t>
      </w:r>
      <w:r>
        <w:t xml:space="preserve"> </w:t>
      </w:r>
      <w:r>
        <w:t xml:space="preserve">in practice: a rare organism, a date and a district are frequently unique. Keeping rows in the</w:t>
      </w:r>
      <w:r>
        <w:t xml:space="preserve"> </w:t>
      </w:r>
      <w:r>
        <w:t xml:space="preserve">laboratory and shipping only answers removes the question rather than mitigating it.</w:t>
      </w:r>
    </w:p>
    <w:bookmarkEnd w:id="173"/>
    <w:bookmarkStart w:id="174" w:name="X7728056c37aa7494c89e560ccf629359d91bab6"/>
    <w:p>
      <w:pPr>
        <w:pStyle w:val="Heading3"/>
      </w:pPr>
      <w:r>
        <w:t xml:space="preserve">28. Federation protocol design</w:t>
      </w:r>
    </w:p>
    <w:p>
      <w:pPr>
        <w:pStyle w:val="FirstParagraph"/>
      </w:pPr>
      <w:r>
        <w:t xml:space="preserve">The laboratory</w:t>
      </w:r>
      <w:r>
        <w:t xml:space="preserve"> </w:t>
      </w:r>
      <w:r>
        <w:rPr>
          <w:b/>
          <w:bCs/>
        </w:rPr>
        <w:t xml:space="preserve">pulls</w:t>
      </w:r>
      <w:r>
        <w:t xml:space="preserve"> </w:t>
      </w:r>
      <w:r>
        <w:t xml:space="preserve">questions (</w:t>
      </w:r>
      <w:r>
        <w:rPr>
          <w:rStyle w:val="VerbatimChar"/>
        </w:rPr>
        <w:t xml:space="preserve">GET /v1/poll</w:t>
      </w:r>
      <w:r>
        <w:t xml:space="preserve">, long-poll, with a WebSocket nudge for</w:t>
      </w:r>
      <w:r>
        <w:t xml:space="preserve"> </w:t>
      </w:r>
      <w:r>
        <w:t xml:space="preserve">immediacy) and posts answers (</w:t>
      </w:r>
      <w:r>
        <w:rPr>
          <w:rStyle w:val="VerbatimChar"/>
        </w:rPr>
        <w:t xml:space="preserve">POST /v1/respond</w:t>
      </w:r>
      <w:r>
        <w:t xml:space="preserve">). Both credentials — bearer token and</w:t>
      </w:r>
      <w:r>
        <w:t xml:space="preserve"> </w:t>
      </w:r>
      <w:r>
        <w:t xml:space="preserve">out-of-band site token — are required on every request.</w:t>
      </w:r>
    </w:p>
    <w:p>
      <w:pPr>
        <w:pStyle w:val="BodyText"/>
      </w:pPr>
      <w:r>
        <w:rPr>
          <w:i/>
          <w:iCs/>
        </w:rPr>
        <w:t xml:space="preserve">Why pull rather than push.</w:t>
      </w:r>
      <w:r>
        <w:t xml:space="preserve"> </w:t>
      </w:r>
      <w:r>
        <w:t xml:space="preserve">A pushing laboratory must hold a queue, a retry policy, a</w:t>
      </w:r>
      <w:r>
        <w:t xml:space="preserve"> </w:t>
      </w:r>
      <w:r>
        <w:t xml:space="preserve">credential for the server and an outbound firewall exception; when it is offline the programme</w:t>
      </w:r>
      <w:r>
        <w:t xml:space="preserve"> </w:t>
      </w:r>
      <w:r>
        <w:t xml:space="preserve">learns nothing about why. A pulling laboratory needs only outbound HTTPS, answers only</w:t>
      </w:r>
      <w:r>
        <w:t xml:space="preserve"> </w:t>
      </w:r>
      <w:r>
        <w:t xml:space="preserve">questions it has allow-listed, and its absence is visible as a missing answer rather than as</w:t>
      </w:r>
      <w:r>
        <w:t xml:space="preserve"> </w:t>
      </w:r>
      <w:r>
        <w:t xml:space="preserve">silence.</w:t>
      </w:r>
    </w:p>
    <w:p>
      <w:pPr>
        <w:pStyle w:val="BodyText"/>
      </w:pPr>
      <w:r>
        <w:rPr>
          <w:i/>
          <w:iCs/>
        </w:rPr>
        <w:t xml:space="preserve">Why not a central warehouse.</w:t>
      </w:r>
      <w:r>
        <w:t xml:space="preserve"> </w:t>
      </w:r>
      <w:r>
        <w:t xml:space="preserve">A warehouse is the design that makes every other privacy</w:t>
      </w:r>
      <w:r>
        <w:t xml:space="preserve"> </w:t>
      </w:r>
      <w:r>
        <w:t xml:space="preserve">control a promise. The moment rows are centralised, the protection is policy; while they stay</w:t>
      </w:r>
      <w:r>
        <w:t xml:space="preserve"> </w:t>
      </w:r>
      <w:r>
        <w:t xml:space="preserve">local, it is architecture.</w:t>
      </w:r>
    </w:p>
    <w:p>
      <w:pPr>
        <w:pStyle w:val="BodyText"/>
      </w:pPr>
      <w:r>
        <w:rPr>
          <w:i/>
          <w:iCs/>
        </w:rPr>
        <w:t xml:space="preserve">Why the two-token scheme.</w:t>
      </w:r>
      <w:r>
        <w:t xml:space="preserve"> </w:t>
      </w:r>
      <w:r>
        <w:t xml:space="preserve">One token that both authenticates and travels the same channel as</w:t>
      </w:r>
      <w:r>
        <w:t xml:space="preserve"> </w:t>
      </w:r>
      <w:r>
        <w:t xml:space="preserve">enrolment can be replayed by whoever intercepts enrolment. Splitting the factors across two</w:t>
      </w:r>
      <w:r>
        <w:t xml:space="preserve"> </w:t>
      </w:r>
      <w:r>
        <w:t xml:space="preserve">channels means a compromise of either one alone is not enough.</w:t>
      </w:r>
    </w:p>
    <w:bookmarkEnd w:id="174"/>
    <w:bookmarkStart w:id="175" w:name="X884f55105bf8b7ba694f1fa6b7308470109c079"/>
    <w:p>
      <w:pPr>
        <w:pStyle w:val="Heading3"/>
      </w:pPr>
      <w:r>
        <w:t xml:space="preserve">29. Dashboard computation</w:t>
      </w:r>
    </w:p>
    <w:p>
      <w:pPr>
        <w:pStyle w:val="FirstParagraph"/>
      </w:pPr>
      <w:r>
        <w:t xml:space="preserve">Metrics are declared in a catalogue (</w:t>
      </w:r>
      <w:r>
        <w:rPr>
          <w:rStyle w:val="VerbatimChar"/>
        </w:rPr>
        <w:t xml:space="preserve">metrics/catalog.py</w:t>
      </w:r>
      <w:r>
        <w:t xml:space="preserve">) as key, query type, filters and</w:t>
      </w:r>
      <w:r>
        <w:t xml:space="preserve"> </w:t>
      </w:r>
      <w:r>
        <w:t xml:space="preserve">presentation. A refresh dispatches the de-duplicated set of wire queries the catalogue implies,</w:t>
      </w:r>
      <w:r>
        <w:t xml:space="preserve"> </w:t>
      </w:r>
      <w:r>
        <w:t xml:space="preserve">waits for the batch, then computes each metric from</w:t>
      </w:r>
      <w:r>
        <w:t xml:space="preserve"> </w:t>
      </w:r>
      <w:r>
        <w:rPr>
          <w:i/>
          <w:iCs/>
        </w:rPr>
        <w:t xml:space="preserve">that batch only</w:t>
      </w:r>
      <w:r>
        <w:t xml:space="preserve"> </w:t>
      </w:r>
      <w:r>
        <w:t xml:space="preserve">and writes a</w:t>
      </w:r>
      <w:r>
        <w:t xml:space="preserve"> </w:t>
      </w:r>
      <w:r>
        <w:rPr>
          <w:rStyle w:val="VerbatimChar"/>
        </w:rPr>
        <w:t xml:space="preserve">KPISnapshot</w:t>
      </w:r>
      <w:r>
        <w:t xml:space="preserve"> </w:t>
      </w:r>
      <w:r>
        <w:t xml:space="preserve">per metric and scope. Snapshots carry their computation time, source and site</w:t>
      </w:r>
      <w:r>
        <w:t xml:space="preserve"> </w:t>
      </w:r>
      <w:r>
        <w:t xml:space="preserve">count, so a dashboard tile can always answer "as of when, from how many sites".</w:t>
      </w:r>
    </w:p>
    <w:p>
      <w:pPr>
        <w:pStyle w:val="BodyText"/>
      </w:pPr>
      <w:r>
        <w:t xml:space="preserve">Scopes are canonical (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admin:&lt;level&gt;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</w:t>
      </w:r>
      <w:r>
        <w:t xml:space="preserve">) and derived from the country</w:t>
      </w:r>
      <w:r>
        <w:t xml:space="preserve"> </w:t>
      </w:r>
      <w:r>
        <w:t xml:space="preserve">profile's tier chain, so a one-tier and a five-tier country use the same code path.</w:t>
      </w:r>
    </w:p>
    <w:bookmarkEnd w:id="175"/>
    <w:bookmarkStart w:id="176" w:name="X8eb8057fbbcc3616c1ac61bc723ff84de5b08b9"/>
    <w:p>
      <w:pPr>
        <w:pStyle w:val="Heading3"/>
      </w:pPr>
      <w:r>
        <w:t xml:space="preserve">30. Limitations and threats to validity</w:t>
      </w:r>
    </w:p>
    <w:p>
      <w:pPr>
        <w:pStyle w:val="FirstParagraph"/>
      </w:pPr>
      <w:r>
        <w:t xml:space="preserve">Stated plainly, because a paper needs them: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Denominator heterogeneity.</w:t>
      </w:r>
      <w:r>
        <w:t xml:space="preserve"> </w:t>
      </w:r>
      <w:r>
        <w:t xml:space="preserve">Resistance rates depend on which isolates a laboratory tests</w:t>
      </w:r>
      <w:r>
        <w:t xml:space="preserve"> </w:t>
      </w:r>
      <w:r>
        <w:t xml:space="preserve">and refers. Coverage metrics (sites reporting, AST completeness) are published alongside the</w:t>
      </w:r>
      <w:r>
        <w:t xml:space="preserve"> </w:t>
      </w:r>
      <w:r>
        <w:t xml:space="preserve">rates for that reason.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Breakpoint version effects.</w:t>
      </w:r>
      <w:r>
        <w:t xml:space="preserve"> </w:t>
      </w:r>
      <w:r>
        <w:t xml:space="preserve">A guideline revision can move a national rate without any</w:t>
      </w:r>
      <w:r>
        <w:t xml:space="preserve"> </w:t>
      </w:r>
      <w:r>
        <w:t xml:space="preserve">change in biology. Every result carries the set that produced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Deduplication sensitivity.</w:t>
      </w:r>
      <w:r>
        <w:t xml:space="preserve"> </w:t>
      </w:r>
      <w:r>
        <w:t xml:space="preserve">First-isolate versus all-isolate changes rates materially;</w:t>
      </w:r>
      <w:r>
        <w:t xml:space="preserve"> </w:t>
      </w:r>
      <w:r>
        <w:t xml:space="preserve">comparisons across systems must match modes.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Suppression bias.</w:t>
      </w:r>
      <w:r>
        <w:t xml:space="preserve"> </w:t>
      </w:r>
      <w:r>
        <w:t xml:space="preserve">k-anonymity suppression removes small cells, which are not missing at</w:t>
      </w:r>
      <w:r>
        <w:t xml:space="preserve"> </w:t>
      </w:r>
      <w:r>
        <w:t xml:space="preserve">random — sparse regions lose more.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Signal ≠ outbreak.</w:t>
      </w:r>
      <w:r>
        <w:t xml:space="preserve"> </w:t>
      </w:r>
      <w:r>
        <w:t xml:space="preserve">A scan statistic identifies statistical excess; confirmation is an</w:t>
      </w:r>
      <w:r>
        <w:t xml:space="preserve"> </w:t>
      </w:r>
      <w:r>
        <w:t xml:space="preserve">epidemiological act.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appendix-a--commands"/>
    <w:p>
      <w:pPr>
        <w:pStyle w:val="Heading2"/>
      </w:pPr>
      <w:r>
        <w:t xml:space="preserve">Appendix A — Commands</w:t>
      </w:r>
    </w:p>
    <w:p>
      <w:pPr>
        <w:pStyle w:val="SourceCode"/>
      </w:pPr>
      <w:r>
        <w:rPr>
          <w:rStyle w:val="VerbatimChar"/>
        </w:rPr>
        <w:t xml:space="preserve"># Desktop</w:t>
      </w:r>
      <w:r>
        <w:br/>
      </w:r>
      <w:r>
        <w:rPr>
          <w:rStyle w:val="VerbatimChar"/>
        </w:rPr>
        <w:t xml:space="preserve">pnpm --dir app install &amp;&amp; pnpm --dir app dev      # development</w:t>
      </w:r>
      <w:r>
        <w:br/>
      </w:r>
      <w:r>
        <w:rPr>
          <w:rStyle w:val="VerbatimChar"/>
        </w:rPr>
        <w:t xml:space="preserve">pnpm --dir app run check &amp;&amp; pnpm --dir app test   # types, lint, tests</w:t>
      </w:r>
      <w:r>
        <w:br/>
      </w:r>
      <w:r>
        <w:br/>
      </w:r>
      <w:r>
        <w:rPr>
          <w:rStyle w:val="VerbatimChar"/>
        </w:rPr>
        <w:t xml:space="preserve"># Portal</w:t>
      </w:r>
      <w:r>
        <w:br/>
      </w:r>
      <w:r>
        <w:rPr>
          <w:rStyle w:val="VerbatimChar"/>
        </w:rPr>
        <w:t xml:space="preserve">python3 manage.py migrate</w:t>
      </w:r>
      <w:r>
        <w:br/>
      </w:r>
      <w:r>
        <w:rPr>
          <w:rStyle w:val="VerbatimChar"/>
        </w:rPr>
        <w:t xml:space="preserve">python3 manage.py bootstrap                       # first administrator</w:t>
      </w:r>
      <w:r>
        <w:br/>
      </w:r>
      <w:r>
        <w:rPr>
          <w:rStyle w:val="VerbatimChar"/>
        </w:rPr>
        <w:t xml:space="preserve">python3 manage.py seed_demo [--country IND] [--strict]</w:t>
      </w:r>
      <w:r>
        <w:br/>
      </w:r>
      <w:r>
        <w:rPr>
          <w:rStyle w:val="VerbatimChar"/>
        </w:rPr>
        <w:t xml:space="preserve">python3 manage.py refresh_snapshots --live</w:t>
      </w:r>
      <w:r>
        <w:br/>
      </w:r>
      <w:r>
        <w:rPr>
          <w:rStyle w:val="VerbatimChar"/>
        </w:rPr>
        <w:t xml:space="preserve">python3 manage.py purge_sites --apply             # clears the registry</w:t>
      </w:r>
      <w:r>
        <w:br/>
      </w:r>
      <w:r>
        <w:rPr>
          <w:rStyle w:val="VerbatimChar"/>
        </w:rPr>
        <w:t xml:space="preserve">python3 manage.py purge_dashboard_data --apply    # clears snapshots and results</w:t>
      </w:r>
      <w:r>
        <w:br/>
      </w:r>
      <w:r>
        <w:br/>
      </w:r>
      <w:r>
        <w:rPr>
          <w:rStyle w:val="VerbatimChar"/>
        </w:rPr>
        <w:t xml:space="preserve"># Documentation</w:t>
      </w:r>
      <w:r>
        <w:br/>
      </w:r>
      <w:r>
        <w:rPr>
          <w:rStyle w:val="VerbatimChar"/>
        </w:rPr>
        <w:t xml:space="preserve">python3 tools/build_manual_figures.py</w:t>
      </w:r>
      <w:r>
        <w:br/>
      </w:r>
      <w:r>
        <w:rPr>
          <w:rStyle w:val="VerbatimChar"/>
        </w:rPr>
        <w:t xml:space="preserve">AMRIT_PORTAL_URL=… AMRIT_PORTAL_USER=… AMRIT_PORTAL_PASSWORD=… \</w:t>
      </w:r>
      <w:r>
        <w:br/>
      </w:r>
      <w:r>
        <w:rPr>
          <w:rStyle w:val="VerbatimChar"/>
        </w:rPr>
        <w:t xml:space="preserve">  app/node_modules/.bin/electron tools/capture_portal.mjs</w:t>
      </w:r>
      <w:r>
        <w:br/>
      </w:r>
      <w:r>
        <w:rPr>
          <w:rStyle w:val="VerbatimChar"/>
        </w:rPr>
        <w:t xml:space="preserve">python3 tools/build_manual.py</w:t>
      </w:r>
    </w:p>
    <w:bookmarkEnd w:id="178"/>
    <w:bookmarkStart w:id="179" w:name="appendix-b--environment"/>
    <w:p>
      <w:pPr>
        <w:pStyle w:val="Heading2"/>
      </w:pPr>
      <w:r>
        <w:t xml:space="preserve">Appendix B —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AMRIT_COUNTRY_PROFILE</w:t>
            </w:r>
          </w:p>
        </w:tc>
        <w:tc>
          <w:tcPr/>
          <w:p>
            <w:pPr>
              <w:pStyle w:val="Compact"/>
            </w:pPr>
            <w:r>
              <w:t xml:space="preserve">Country profile id (</w:t>
            </w: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TESTLAND</w:t>
            </w:r>
            <w:r>
              <w:t xml:space="preserve">, …). Must be passed to the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AMRIT_SEED_DEMO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seeds the demonstration pack — published passwords, demo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AMRIT_K_ANONYMITY_FLOOR</w:t>
            </w:r>
          </w:p>
        </w:tc>
        <w:tc>
          <w:tcPr/>
          <w:p>
            <w:pPr>
              <w:pStyle w:val="Compact"/>
            </w:pPr>
            <w:r>
              <w:t xml:space="preserve">Minimum cell size before suppression (default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AMRIT_QUERY_TTL_SECONDS</w:t>
            </w:r>
          </w:p>
        </w:tc>
        <w:tc>
          <w:tcPr/>
          <w:p>
            <w:pPr>
              <w:pStyle w:val="Compact"/>
            </w:pPr>
            <w:r>
              <w:t xml:space="preserve">How long a dispatched query stays answerable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AMRIT_LONGPOLL_MAX_WAIT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AMRIT_LONGPOLL_TICK</w:t>
            </w:r>
          </w:p>
        </w:tc>
        <w:tc>
          <w:tcPr/>
          <w:p>
            <w:pPr>
              <w:pStyle w:val="Compact"/>
            </w:pPr>
            <w:r>
              <w:t xml:space="preserve">Long-poll hold time and poll granularity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AMRIT_REFRESH_WAIT_SECONDS</w:t>
            </w:r>
          </w:p>
        </w:tc>
        <w:tc>
          <w:tcPr/>
          <w:p>
            <w:pPr>
              <w:pStyle w:val="Compact"/>
            </w:pPr>
            <w:r>
              <w:t xml:space="preserve">How long a live refresh waits for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AMRIT_ENROLMENT_PICKUP_TTL_SECONDS</w:t>
            </w:r>
          </w:p>
        </w:tc>
        <w:tc>
          <w:tcPr/>
          <w:p>
            <w:pPr>
              <w:pStyle w:val="Compact"/>
            </w:pPr>
            <w:r>
              <w:t xml:space="preserve">Lifetime of a one-time pickup token (default 24 h)</w:t>
            </w:r>
          </w:p>
        </w:tc>
      </w:tr>
    </w:tbl>
    <w:bookmarkEnd w:id="179"/>
    <w:bookmarkStart w:id="180" w:name="appendix-c--roles-and-dashboards"/>
    <w:p>
      <w:pPr>
        <w:pStyle w:val="Heading2"/>
      </w:pPr>
      <w:r>
        <w:t xml:space="preserve">Appendix C — Roles and dashboards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administrator, programme administrator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maker, public health expert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Epidemiologist, researcher</w:t>
            </w:r>
          </w:p>
        </w:tc>
        <w:tc>
          <w:tcPr/>
          <w:p>
            <w:pPr>
              <w:pStyle w:val="Compact"/>
            </w:pPr>
            <w:r>
              <w:t xml:space="preserve">Epidemiology</w:t>
            </w:r>
          </w:p>
        </w:tc>
        <w:tc>
          <w:tcPr/>
          <w:p>
            <w:pPr>
              <w:pStyle w:val="Compact"/>
            </w:pPr>
            <w:r>
              <w:t xml:space="preserve">National, with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health officer</w:t>
            </w:r>
          </w:p>
        </w:tc>
        <w:tc>
          <w:tcPr/>
          <w:p>
            <w:pPr>
              <w:pStyle w:val="Compact"/>
            </w:pPr>
            <w:r>
              <w:t xml:space="preserve">Administrative</w:t>
            </w:r>
          </w:p>
        </w:tc>
        <w:tc>
          <w:tcPr/>
          <w:p>
            <w:pPr>
              <w:pStyle w:val="Compact"/>
            </w:pPr>
            <w:r>
              <w:t xml:space="preserve">The viewer's own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administrator</w:t>
            </w:r>
          </w:p>
        </w:tc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t xml:space="preserve">One 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Press, citizen</w:t>
            </w:r>
          </w:p>
        </w:tc>
        <w:tc>
          <w:tcPr/>
          <w:p>
            <w:pPr>
              <w:pStyle w:val="Compact"/>
            </w:pPr>
            <w:r>
              <w:t xml:space="preserve">Public summary</w:t>
            </w:r>
          </w:p>
        </w:tc>
        <w:tc>
          <w:tcPr/>
          <w:p>
            <w:pPr>
              <w:pStyle w:val="Compact"/>
            </w:pPr>
            <w:r>
              <w:t xml:space="preserve">National, suppressed</w:t>
            </w:r>
          </w:p>
        </w:tc>
      </w:tr>
    </w:tbl>
    <w:bookmarkEnd w:id="180"/>
    <w:bookmarkStart w:id="181" w:name="appendix-d--metric-catalogue-extract"/>
    <w:p>
      <w:pPr>
        <w:pStyle w:val="Heading2"/>
      </w:pPr>
      <w:r>
        <w:t xml:space="preserve">Appendix D — Metric catalogue (extract)</w:t>
      </w:r>
    </w:p>
    <w:p>
      <w:pPr>
        <w:pStyle w:val="FirstParagraph"/>
      </w:pPr>
      <w:r>
        <w:rPr>
          <w:rStyle w:val="VerbatimChar"/>
        </w:rPr>
        <w:t xml:space="preserve">res_*</w:t>
      </w:r>
      <w:r>
        <w:t xml:space="preserve"> </w:t>
      </w:r>
      <w:r>
        <w:t xml:space="preserve">resistance rates per pathogen–agent pair ·</w:t>
      </w:r>
      <w:r>
        <w:t xml:space="preserve"> </w:t>
      </w:r>
      <w:r>
        <w:rPr>
          <w:rStyle w:val="VerbatimChar"/>
        </w:rPr>
        <w:t xml:space="preserve">phen_cre</w:t>
      </w:r>
      <w:r>
        <w:t xml:space="preserve">,</w:t>
      </w:r>
      <w:r>
        <w:t xml:space="preserve"> </w:t>
      </w:r>
      <w:r>
        <w:rPr>
          <w:rStyle w:val="VerbatimChar"/>
        </w:rPr>
        <w:t xml:space="preserve">phen_mdr</w:t>
      </w:r>
      <w:r>
        <w:t xml:space="preserve"> </w:t>
      </w:r>
      <w:r>
        <w:t xml:space="preserve">phenotypes ·</w:t>
      </w:r>
      <w:r>
        <w:t xml:space="preserve"> </w:t>
      </w:r>
      <w:r>
        <w:rPr>
          <w:rStyle w:val="VerbatimChar"/>
        </w:rPr>
        <w:t xml:space="preserve">burden_isolates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burden_organism_mix</w:t>
      </w:r>
      <w:r>
        <w:t xml:space="preserve">,</w:t>
      </w:r>
      <w:r>
        <w:t xml:space="preserve"> </w:t>
      </w:r>
      <w:r>
        <w:rPr>
          <w:rStyle w:val="VerbatimChar"/>
        </w:rPr>
        <w:t xml:space="preserve">burden_specimen_mix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antibiogram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cov_sites_reporting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cov_sites_online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cov_geo</w:t>
      </w:r>
      <w:r>
        <w:t xml:space="preserve">,</w:t>
      </w:r>
      <w:r>
        <w:t xml:space="preserve"> </w:t>
      </w:r>
      <w:r>
        <w:rPr>
          <w:rStyle w:val="VerbatimChar"/>
        </w:rPr>
        <w:t xml:space="preserve">cov_ast_completeness</w:t>
      </w:r>
      <w:r>
        <w:t xml:space="preserve">.</w:t>
      </w:r>
    </w:p>
    <w:bookmarkEnd w:id="181"/>
    <w:bookmarkStart w:id="182" w:name="appendix-e--demonstration-credentials"/>
    <w:p>
      <w:pPr>
        <w:pStyle w:val="Heading2"/>
      </w:pPr>
      <w:r>
        <w:t xml:space="preserve">Appendix E — Demonstration credentials</w:t>
      </w:r>
    </w:p>
    <w:p>
      <w:pPr>
        <w:pStyle w:val="FirstParagraph"/>
      </w:pPr>
      <w:r>
        <w:t xml:space="preserve">Seeded only by</w:t>
      </w:r>
      <w:r>
        <w:t xml:space="preserve"> </w:t>
      </w:r>
      <w:r>
        <w:rPr>
          <w:rStyle w:val="VerbatimChar"/>
        </w:rPr>
        <w:t xml:space="preserve">seed_demo</w:t>
      </w:r>
      <w:r>
        <w:t xml:space="preserve">, with passwords published in this repository. Never enable on a</w:t>
      </w:r>
      <w:r>
        <w:t xml:space="preserve"> </w:t>
      </w:r>
      <w:r>
        <w:t xml:space="preserve">deployment holding real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Super 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policy_maker</w:t>
            </w:r>
          </w:p>
        </w:tc>
        <w:tc>
          <w:tcPr/>
          <w:p>
            <w:pPr>
              <w:pStyle w:val="Compact"/>
            </w:pPr>
            <w:r>
              <w:t xml:space="preserve">Policy maker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epidemiologist</w:t>
            </w:r>
          </w:p>
        </w:tc>
        <w:tc>
          <w:tcPr/>
          <w:p>
            <w:pPr>
              <w:pStyle w:val="Compact"/>
            </w:pPr>
            <w:r>
              <w:t xml:space="preserve">Epidemiologist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public_health</w:t>
            </w:r>
          </w:p>
        </w:tc>
        <w:tc>
          <w:tcPr/>
          <w:p>
            <w:pPr>
              <w:pStyle w:val="Compact"/>
            </w:pPr>
            <w:r>
              <w:t xml:space="preserve">Public health expert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state_officer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district_officer</w:t>
            </w:r>
          </w:p>
        </w:tc>
        <w:tc>
          <w:tcPr/>
          <w:p>
            <w:pPr>
              <w:pStyle w:val="Compact"/>
            </w:pPr>
            <w:r>
              <w:t xml:space="preserve">Administrative health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hospital_admin</w:t>
            </w:r>
          </w:p>
        </w:tc>
        <w:tc>
          <w:tcPr/>
          <w:p>
            <w:pPr>
              <w:pStyle w:val="Compact"/>
            </w:pPr>
            <w:r>
              <w:t xml:space="preserve">Hospital 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Public views</w:t>
            </w:r>
          </w:p>
        </w:tc>
      </w:tr>
    </w:tbl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75" Target="media/rId75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64" Target="media/rId64.png" /><Relationship Type="http://schemas.openxmlformats.org/officeDocument/2006/relationships/image" Id="rId45" Target="media/rId45.png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60" Target="media/rId60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68" Target="media/rId68.png" /><Relationship Type="http://schemas.openxmlformats.org/officeDocument/2006/relationships/image" Id="rId10" Target="media/rId10.png" /><Relationship Type="http://schemas.openxmlformats.org/officeDocument/2006/relationships/image" Id="rId163" Target="media/rId163.png" /><Relationship Type="http://schemas.openxmlformats.org/officeDocument/2006/relationships/image" Id="rId71" Target="media/rId71.png" /><Relationship Type="http://schemas.openxmlformats.org/officeDocument/2006/relationships/image" Id="rId169" Target="media/rId169.png" /><Relationship Type="http://schemas.openxmlformats.org/officeDocument/2006/relationships/image" Id="rId125" Target="media/rId125.png" /><Relationship Type="http://schemas.openxmlformats.org/officeDocument/2006/relationships/image" Id="rId49" Target="media/rId49.png" /><Relationship Type="http://schemas.openxmlformats.org/officeDocument/2006/relationships/image" Id="rId98" Target="media/rId98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51" Target="media/rId151.png" /><Relationship Type="http://schemas.openxmlformats.org/officeDocument/2006/relationships/image" Id="rId157" Target="media/rId157.png" /><Relationship Type="http://schemas.openxmlformats.org/officeDocument/2006/relationships/image" Id="rId154" Target="media/rId154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87" Target="media/rId87.png" /><Relationship Type="http://schemas.openxmlformats.org/officeDocument/2006/relationships/image" Id="rId129" Target="media/rId129.png" /><Relationship Type="http://schemas.openxmlformats.org/officeDocument/2006/relationships/image" Id="rId140" Target="media/rId140.png" /><Relationship Type="http://schemas.openxmlformats.org/officeDocument/2006/relationships/image" Id="rId94" Target="media/rId94.png" /><Relationship Type="http://schemas.openxmlformats.org/officeDocument/2006/relationships/image" Id="rId91" Target="media/rId91.png" /><Relationship Type="http://schemas.openxmlformats.org/officeDocument/2006/relationships/image" Id="rId116" Target="media/rId116.png" /><Relationship Type="http://schemas.openxmlformats.org/officeDocument/2006/relationships/image" Id="rId107" Target="media/rId107.png" /><Relationship Type="http://schemas.openxmlformats.org/officeDocument/2006/relationships/image" Id="rId119" Target="media/rId119.png" /><Relationship Type="http://schemas.openxmlformats.org/officeDocument/2006/relationships/image" Id="rId104" Target="media/rId104.png" /><Relationship Type="http://schemas.openxmlformats.org/officeDocument/2006/relationships/image" Id="rId101" Target="media/rId101.png" /><Relationship Type="http://schemas.openxmlformats.org/officeDocument/2006/relationships/image" Id="rId122" Target="media/rId122.png" /><Relationship Type="http://schemas.openxmlformats.org/officeDocument/2006/relationships/image" Id="rId113" Target="media/rId113.png" /><Relationship Type="http://schemas.openxmlformats.org/officeDocument/2006/relationships/image" Id="rId110" Target="media/rId110.png" /><Relationship Type="http://schemas.openxmlformats.org/officeDocument/2006/relationships/image" Id="rId84" Target="media/rId84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2026-08-14T06:30:35Z</dcterms:created>
  <dcterms:modified xsi:type="dcterms:W3CDTF">2026-08-14T06:30:35Z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