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l0uvpjnte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Desarrollo de Frontend con Arquitectura Single Page Application (SPA)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aplicaciones frontend desarrolladas bajo el paradigma de </w:t>
      </w: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 constituyen una alternativa válida al enfoque de MicroFrontends, y pueden utilizarse cuando los requisitos del dominio, performance, mantenimiento, desacoplamiento y equipo así lo permiten. Esta sección establece los lineamientos que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aplicarse al construir </w:t>
      </w:r>
      <w:r w:rsidDel="00000000" w:rsidR="00000000" w:rsidRPr="00000000">
        <w:rPr>
          <w:b w:val="1"/>
          <w:rtl w:val="0"/>
        </w:rPr>
        <w:t xml:space="preserve">SPAs React</w:t>
      </w:r>
      <w:r w:rsidDel="00000000" w:rsidR="00000000" w:rsidRPr="00000000">
        <w:rPr>
          <w:rtl w:val="0"/>
        </w:rPr>
        <w:t xml:space="preserve"> dentro de la organización, respetando el ecosistema tecnológico compartido.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1bj6j7vqs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 es una aplicación web que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cargar un único documento HTML que sirve de base para una interfaz de usuario que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manipularse dinámicamente mediante JavaScript sin recargar completamente la página . En nuestro contexto, las SPAs </w:t>
      </w: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estar desarrolladas con </w:t>
      </w:r>
      <w:r w:rsidDel="00000000" w:rsidR="00000000" w:rsidRPr="00000000">
        <w:rPr>
          <w:b w:val="1"/>
          <w:rtl w:val="0"/>
        </w:rPr>
        <w:t xml:space="preserve">React 18.2.0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TypeScript 4.9.5</w:t>
      </w:r>
      <w:r w:rsidDel="00000000" w:rsidR="00000000" w:rsidRPr="00000000">
        <w:rPr>
          <w:rtl w:val="0"/>
        </w:rPr>
        <w:t xml:space="preserve">, utilizando </w:t>
      </w:r>
      <w:r w:rsidDel="00000000" w:rsidR="00000000" w:rsidRPr="00000000">
        <w:rPr>
          <w:b w:val="1"/>
          <w:rtl w:val="0"/>
        </w:rPr>
        <w:t xml:space="preserve">Webpack 5</w:t>
      </w:r>
      <w:r w:rsidDel="00000000" w:rsidR="00000000" w:rsidRPr="00000000">
        <w:rPr>
          <w:rtl w:val="0"/>
        </w:rPr>
        <w:t xml:space="preserve"> como empacador.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t9t2i9plr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 Base (Obligatorias)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arquitectura SPA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implementar las mismas tecnologías obligatorias que en el modelo de MicroFrontend: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18.2.0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 4.9.5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Webpack 5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Atomic Design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ContentStack (CMS)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ItauOne Design System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@itau-one/*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GitLab Pipelines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obstante, la aplicación </w:t>
      </w:r>
      <w:r w:rsidDel="00000000" w:rsidR="00000000" w:rsidRPr="00000000">
        <w:rPr>
          <w:b w:val="1"/>
          <w:rtl w:val="0"/>
        </w:rPr>
        <w:t xml:space="preserve">NO DEBE</w:t>
      </w:r>
      <w:r w:rsidDel="00000000" w:rsidR="00000000" w:rsidRPr="00000000">
        <w:rPr>
          <w:rtl w:val="0"/>
        </w:rPr>
        <w:t xml:space="preserve"> dividirse en múltiples módulos federados o cargados dinámicamente a través de Module Federation. En su lugar, toda la lógica, rutas, vistas y servicios 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empaquetar como una unidad desplegable coherente y aislada.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f3lhxjceb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Principios Arquitectónicos para SPA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461w7wwnn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Modularidad y Dominios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SPA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estructurarse en </w:t>
      </w:r>
      <w:r w:rsidDel="00000000" w:rsidR="00000000" w:rsidRPr="00000000">
        <w:rPr>
          <w:b w:val="1"/>
          <w:rtl w:val="0"/>
        </w:rPr>
        <w:t xml:space="preserve">módulos funcionales desacoplados</w:t>
      </w:r>
      <w:r w:rsidDel="00000000" w:rsidR="00000000" w:rsidRPr="00000000">
        <w:rPr>
          <w:rtl w:val="0"/>
        </w:rPr>
        <w:t xml:space="preserve"> (por dominio o feature), empleando </w:t>
      </w:r>
      <w:r w:rsidDel="00000000" w:rsidR="00000000" w:rsidRPr="00000000">
        <w:rPr>
          <w:b w:val="1"/>
          <w:rtl w:val="0"/>
        </w:rPr>
        <w:t xml:space="preserve">separación explícita de responsabilidades</w:t>
      </w:r>
      <w:r w:rsidDel="00000000" w:rsidR="00000000" w:rsidRPr="00000000">
        <w:rPr>
          <w:rtl w:val="0"/>
        </w:rPr>
        <w:t xml:space="preserve">. Cada módulo funcional (por ejemplo: Autenticación, Dashboard, Reportes)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ubicarse en una carpeta raíz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src/modules/nombre-modulo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módulo funcional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contener sus propios componentes atómicos, servicios, rutas internas y pruebas.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aplicar la estructura Atomic Design dentro de cada módulo, replicando los niveles: átomos, moléculas, organismos, plantillas y páginas.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modules/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dashboard/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atoms/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molecules/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organisms/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templates/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pages/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services/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routes/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ax9q1519y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del Estado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SPA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tener una política clara de gestión del estado.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PUEDE</w:t>
      </w:r>
      <w:r w:rsidDel="00000000" w:rsidR="00000000" w:rsidRPr="00000000">
        <w:rPr>
          <w:rtl w:val="0"/>
        </w:rPr>
        <w:t xml:space="preserve"> usar Context API, Redux Toolkit, Zustand o Recoil, de forma justificada.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estado global compartido</w:t>
      </w:r>
      <w:r w:rsidDel="00000000" w:rsidR="00000000" w:rsidRPr="00000000">
        <w:rPr>
          <w:rtl w:val="0"/>
        </w:rPr>
        <w:t xml:space="preserve"> entre dominios funcionales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estar centralizado y documentado.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estado local o de componente </w:t>
      </w:r>
      <w:r w:rsidDel="00000000" w:rsidR="00000000" w:rsidRPr="00000000">
        <w:rPr>
          <w:b w:val="1"/>
          <w:rtl w:val="0"/>
        </w:rPr>
        <w:t xml:space="preserve">DEBERÍA</w:t>
      </w:r>
      <w:r w:rsidDel="00000000" w:rsidR="00000000" w:rsidRPr="00000000">
        <w:rPr>
          <w:rtl w:val="0"/>
        </w:rPr>
        <w:t xml:space="preserve"> resolverse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useReducer</w:t>
      </w:r>
      <w:r w:rsidDel="00000000" w:rsidR="00000000" w:rsidRPr="00000000">
        <w:rPr>
          <w:rtl w:val="0"/>
        </w:rPr>
        <w:t xml:space="preserve"> o Context API según el caso.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pj60r3xn6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Enrutamiento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react-router-dom</w:t>
      </w:r>
      <w:r w:rsidDel="00000000" w:rsidR="00000000" w:rsidRPr="00000000">
        <w:rPr>
          <w:rtl w:val="0"/>
        </w:rPr>
        <w:t xml:space="preserve"> (v6 o superior) como sistema de enrutamiento de la SPA.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rutas deben declararse de forma jerárquica en archivos modulares.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implementar </w:t>
      </w:r>
      <w:r w:rsidDel="00000000" w:rsidR="00000000" w:rsidRPr="00000000">
        <w:rPr>
          <w:b w:val="1"/>
          <w:rtl w:val="0"/>
        </w:rPr>
        <w:t xml:space="preserve">carga perezosa</w:t>
      </w:r>
      <w:r w:rsidDel="00000000" w:rsidR="00000000" w:rsidRPr="00000000">
        <w:rPr>
          <w:rtl w:val="0"/>
        </w:rPr>
        <w:t xml:space="preserve"> (lazy loading) de rutas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React.lazy()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Suspense</w:t>
      </w:r>
      <w:r w:rsidDel="00000000" w:rsidR="00000000" w:rsidRPr="00000000">
        <w:rPr>
          <w:rtl w:val="0"/>
        </w:rPr>
        <w:t xml:space="preserve"> para dividir el código y optimizar la carga.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Dashboard = React.lazy(() =&gt; import('./pages/Dashboard'));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&lt;Route path="/dashboard" element={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&lt;Suspense fallback={&lt;Loading /&gt;}&gt;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&lt;Dashboard /&gt;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&lt;/Suspense&gt;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rutas </w:t>
      </w:r>
      <w:r w:rsidDel="00000000" w:rsidR="00000000" w:rsidRPr="00000000">
        <w:rPr>
          <w:b w:val="1"/>
          <w:rtl w:val="0"/>
        </w:rPr>
        <w:t xml:space="preserve">NO DEBEN</w:t>
      </w:r>
      <w:r w:rsidDel="00000000" w:rsidR="00000000" w:rsidRPr="00000000">
        <w:rPr>
          <w:rtl w:val="0"/>
        </w:rPr>
        <w:t xml:space="preserve"> ser declaradas de forma plana en un único archivo de gran tamaño. Cada módulo funcional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declarar sus propias rutas locales, y éstas deben componerse desde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router/index.tsx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rq1v6vqc4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Comunicación entre módulos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SPA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limitar la comunicación entre módulos funcionales a través de mecanismos explícitos (props, eventos, contexto compartido).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DEBE</w:t>
      </w:r>
      <w:r w:rsidDel="00000000" w:rsidR="00000000" w:rsidRPr="00000000">
        <w:rPr>
          <w:rtl w:val="0"/>
        </w:rPr>
        <w:t xml:space="preserve"> usarse acoplamiento implícito (importaciones cruzadas sin control).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definir contratos claros entre módulos funcionales mediante interfaces y estructuras de datos tipadas con TypeScript.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w1wc3ehef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Integración con ContentStack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uso de ContentStack en SPAs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seguir las mismas prácticas descritas en la sección de MicroFrontends: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cliente SDK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inicializarse una única vez (singleton).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construir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ContentService</w:t>
      </w:r>
      <w:r w:rsidDel="00000000" w:rsidR="00000000" w:rsidRPr="00000000">
        <w:rPr>
          <w:rtl w:val="0"/>
        </w:rPr>
        <w:t xml:space="preserve"> general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src/services/contentstack.ts</w:t>
      </w:r>
      <w:r w:rsidDel="00000000" w:rsidR="00000000" w:rsidRPr="00000000">
        <w:rPr>
          <w:rtl w:val="0"/>
        </w:rPr>
        <w:t xml:space="preserve"> para encapsular llamadas al CMS.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módulos funcionales </w:t>
      </w:r>
      <w:r w:rsidDel="00000000" w:rsidR="00000000" w:rsidRPr="00000000">
        <w:rPr>
          <w:b w:val="1"/>
          <w:rtl w:val="0"/>
        </w:rPr>
        <w:t xml:space="preserve">DEBERÍAN</w:t>
      </w:r>
      <w:r w:rsidDel="00000000" w:rsidR="00000000" w:rsidRPr="00000000">
        <w:rPr>
          <w:rtl w:val="0"/>
        </w:rPr>
        <w:t xml:space="preserve"> consumir contenido mediante funciones de ese servicio y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directamente con el SDK.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hzgaid81m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Ciclo de Vida y Despliegue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cc8ep2hel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CI/CD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pipeline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validar el código con </w:t>
      </w:r>
      <w:r w:rsidDel="00000000" w:rsidR="00000000" w:rsidRPr="00000000">
        <w:rPr>
          <w:i w:val="1"/>
          <w:rtl w:val="0"/>
        </w:rPr>
        <w:t xml:space="preserve">linters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antes del merge a ramas protegidas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SPA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empaquetarse como artefacto independiente (por ejemplo: Docker container o carpeta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desplegable).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despliegue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ser automatizado por GitLab CI/CD a los entornos correspondientes.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incluir análisis de dependencias y seguridad (p.ej. Snyk, Trivy, OWASP tools).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739wworau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Versionamiento y Releases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aplicar versionado semántico (SemVer) a la SPA.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release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documentarse y etiquetarse en el repositorio.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rollback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estar soportado mediante tags o ramas de respaldo.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q5o1bwhm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Buenas Prácticas y Mantenibilidad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existir una convención de estilos y nombres unificada (nombres de archivos en </w:t>
      </w:r>
      <w:r w:rsidDel="00000000" w:rsidR="00000000" w:rsidRPr="00000000">
        <w:rPr>
          <w:i w:val="1"/>
          <w:rtl w:val="0"/>
        </w:rPr>
        <w:t xml:space="preserve">kebab-case</w:t>
      </w:r>
      <w:r w:rsidDel="00000000" w:rsidR="00000000" w:rsidRPr="00000000">
        <w:rPr>
          <w:rtl w:val="0"/>
        </w:rPr>
        <w:t xml:space="preserve">, componentes en </w:t>
      </w:r>
      <w:r w:rsidDel="00000000" w:rsidR="00000000" w:rsidRPr="00000000">
        <w:rPr>
          <w:i w:val="1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, hooks en </w:t>
      </w:r>
      <w:r w:rsidDel="00000000" w:rsidR="00000000" w:rsidRPr="00000000">
        <w:rPr>
          <w:i w:val="1"/>
          <w:rtl w:val="0"/>
        </w:rPr>
        <w:t xml:space="preserve">camelCase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DEBEN</w:t>
      </w:r>
      <w:r w:rsidDel="00000000" w:rsidR="00000000" w:rsidRPr="00000000">
        <w:rPr>
          <w:rtl w:val="0"/>
        </w:rPr>
        <w:t xml:space="preserve"> usarse herramientas de linting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prettier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stylelint</w:t>
      </w:r>
      <w:r w:rsidDel="00000000" w:rsidR="00000000" w:rsidRPr="00000000">
        <w:rPr>
          <w:rtl w:val="0"/>
        </w:rPr>
        <w:t xml:space="preserve">) con configuración corporativa.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documentar cada componente relevante con Storybook o documentación integrada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JSDoc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Typedoc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uso de librerías externas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ser justificado, revisado y aprobado por arquitectura antes de ser incluido.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aplicar optimización de performance: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Lazy loading de módulos y rutas.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splitting por chunk.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Tree shaking de imports.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Caché y almacenamiento local sólo cuando esté controlado.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kzfl3i9n1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Finales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elección de SPA frente a MicroFrontend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ser evaluada desde arquitectura considerando: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Tamaño del equipo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Escalabilidad futura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Necesidad de despliegue independiente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Interoperabilidad con otros módulos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Dependencias compartidas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se opta por SPA, esta </w:t>
      </w:r>
      <w:r w:rsidDel="00000000" w:rsidR="00000000" w:rsidRPr="00000000">
        <w:rPr>
          <w:b w:val="1"/>
          <w:rtl w:val="0"/>
        </w:rPr>
        <w:t xml:space="preserve">DEBE</w:t>
      </w:r>
      <w:r w:rsidDel="00000000" w:rsidR="00000000" w:rsidRPr="00000000">
        <w:rPr>
          <w:rtl w:val="0"/>
        </w:rPr>
        <w:t xml:space="preserve"> cumplir todos los lineamientos aquí definidos, garantizando consistencia con la visión técnica corporativa y mantenibilidad a largo plazo.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¿Quieres que prepare esta nueva sección también en formato PDF o para publicación directa en intranet corporativa (con índice, metadatos, branding, etc.)?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